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E75FDD" w14:textId="5DB1FF35" w:rsidR="008D0AF1" w:rsidRPr="008D3F0E" w:rsidRDefault="004065E0" w:rsidP="008D3F0E">
      <w:pPr>
        <w:jc w:val="center"/>
        <w:rPr>
          <w:b/>
          <w:sz w:val="26"/>
        </w:rPr>
      </w:pPr>
      <w:r w:rsidRPr="008D3F0E">
        <w:rPr>
          <w:b/>
          <w:sz w:val="26"/>
        </w:rPr>
        <w:t>El mundo rural es clave para el futuro de América Latina y el Caribe, revela nuevo reporte de CAF</w:t>
      </w:r>
    </w:p>
    <w:p w14:paraId="42D59F9D" w14:textId="02E8BF22" w:rsidR="004065E0" w:rsidRPr="007C7CD8" w:rsidRDefault="007C7CD8" w:rsidP="008D3F0E">
      <w:pPr>
        <w:pStyle w:val="Prrafodelista"/>
        <w:numPr>
          <w:ilvl w:val="0"/>
          <w:numId w:val="2"/>
        </w:numPr>
        <w:jc w:val="both"/>
      </w:pPr>
      <w:r w:rsidRPr="007C7CD8">
        <w:t>El nuevo reporte de CAF señala que el futuro del crecimiento de América Latina y el Caribe dependerá en gran medida del desarrollo de sus territorios rurales, que concentran recursos estratégicos para la seguridad alimentaria, la biodiversidad y la transición energética. El info</w:t>
      </w:r>
      <w:bookmarkStart w:id="0" w:name="_GoBack"/>
      <w:bookmarkEnd w:id="0"/>
      <w:r w:rsidRPr="007C7CD8">
        <w:t>rme plantea una nueva agenda de políticas para cerrar brechas históricas e impulsar la productividad, la conectividad y la diversificación económica.</w:t>
      </w:r>
    </w:p>
    <w:p w14:paraId="0C29AEF9" w14:textId="755F63E2" w:rsidR="008D0AF1" w:rsidRDefault="008D0AF1" w:rsidP="008D3F0E">
      <w:pPr>
        <w:spacing w:after="0" w:line="276" w:lineRule="auto"/>
        <w:jc w:val="both"/>
      </w:pPr>
      <w:r w:rsidRPr="16ED277C">
        <w:rPr>
          <w:b/>
          <w:bCs/>
        </w:rPr>
        <w:t xml:space="preserve">Ciudad de México, 21 de abril de 2026. </w:t>
      </w:r>
      <w:r>
        <w:t>CAF -</w:t>
      </w:r>
      <w:r w:rsidR="52FA07D0">
        <w:t>b</w:t>
      </w:r>
      <w:r>
        <w:t xml:space="preserve">anco de </w:t>
      </w:r>
      <w:r w:rsidR="25A4161F">
        <w:t>d</w:t>
      </w:r>
      <w:r>
        <w:t>esarrollo de América Latina y el Caribe-, en conjunto con la Secretaría de Economía de México y el Colegio de México (</w:t>
      </w:r>
      <w:proofErr w:type="spellStart"/>
      <w:r>
        <w:t>Colmex</w:t>
      </w:r>
      <w:proofErr w:type="spellEnd"/>
      <w:r>
        <w:t>), presentó hoy</w:t>
      </w:r>
      <w:r w:rsidR="00F35A7B">
        <w:t xml:space="preserve"> en la Ciudad de México</w:t>
      </w:r>
      <w:r>
        <w:t xml:space="preserve"> el Reporte de Economía y Desarrollo (RED) </w:t>
      </w:r>
      <w:r w:rsidRPr="16ED277C">
        <w:rPr>
          <w:i/>
          <w:iCs/>
        </w:rPr>
        <w:t>“</w:t>
      </w:r>
      <w:hyperlink r:id="rId10" w:history="1">
        <w:r w:rsidRPr="00A9058B">
          <w:rPr>
            <w:rStyle w:val="Hipervnculo"/>
            <w:i/>
            <w:iCs/>
          </w:rPr>
          <w:t>Raíces del futuro: el nuevo mundo rural de América Latina y el Caribe”</w:t>
        </w:r>
      </w:hyperlink>
      <w:r>
        <w:t>, una publicación que analiza las profundas transformaciones de los territorios rurales y plantea una nueva agenda de políticas para impulsar su desarrollo.</w:t>
      </w:r>
    </w:p>
    <w:p w14:paraId="6787DA52" w14:textId="77777777" w:rsidR="008D3F0E" w:rsidRPr="008D0AF1" w:rsidRDefault="008D3F0E" w:rsidP="008D3F0E">
      <w:pPr>
        <w:spacing w:after="0" w:line="276" w:lineRule="auto"/>
        <w:jc w:val="both"/>
      </w:pPr>
    </w:p>
    <w:p w14:paraId="362A3CA2" w14:textId="61CF7A7E" w:rsidR="008D0AF1" w:rsidRDefault="008D0AF1" w:rsidP="008D3F0E">
      <w:pPr>
        <w:spacing w:after="0" w:line="276" w:lineRule="auto"/>
        <w:jc w:val="both"/>
      </w:pPr>
      <w:r w:rsidRPr="008D0AF1">
        <w:t xml:space="preserve">El informe </w:t>
      </w:r>
      <w:r>
        <w:t>sostiene</w:t>
      </w:r>
      <w:r w:rsidRPr="008D0AF1">
        <w:t xml:space="preserve"> que </w:t>
      </w:r>
      <w:r w:rsidR="00F35A7B">
        <w:t>el crecimiento de la región</w:t>
      </w:r>
      <w:r w:rsidRPr="008D0AF1">
        <w:t xml:space="preserve"> está estrechamente vinculad</w:t>
      </w:r>
      <w:r w:rsidR="00F35A7B">
        <w:t xml:space="preserve">o </w:t>
      </w:r>
      <w:r w:rsidRPr="008D0AF1">
        <w:t>al desarrollo de estos territorios, en un contexto global marcado por la creciente demanda de alimentos, la transición energética y la reconfiguración de las cadenas de valor.</w:t>
      </w:r>
    </w:p>
    <w:p w14:paraId="6F9B1387" w14:textId="77777777" w:rsidR="008D3F0E" w:rsidRPr="008D0AF1" w:rsidRDefault="008D3F0E" w:rsidP="008D3F0E">
      <w:pPr>
        <w:spacing w:after="0" w:line="276" w:lineRule="auto"/>
        <w:jc w:val="both"/>
      </w:pPr>
    </w:p>
    <w:p w14:paraId="0D64D2D8" w14:textId="2B49277E" w:rsidR="008D0AF1" w:rsidRDefault="008D0AF1" w:rsidP="008D3F0E">
      <w:pPr>
        <w:spacing w:after="0" w:line="276" w:lineRule="auto"/>
        <w:jc w:val="both"/>
      </w:pPr>
      <w:r w:rsidRPr="008D0AF1">
        <w:t>En este escenario, el mundo rural de América Latina y el Caribe se consolida como un activo estratégico. Con alrededor de 120 millones de habitantes, más de 18 millones de unidades productivas agropecuarias, el 22% de la superficie boscosa mundial, el 50% de la biodiversidad conocida y cerca del 60% de los recursos globales de litio, estos territorios son fundamentales para la seguridad alimentaria, la sostenibilidad ambiental y la transición energética.</w:t>
      </w:r>
    </w:p>
    <w:p w14:paraId="307CD395" w14:textId="77777777" w:rsidR="008D3F0E" w:rsidRDefault="008D3F0E" w:rsidP="008D3F0E">
      <w:pPr>
        <w:spacing w:after="0" w:line="276" w:lineRule="auto"/>
        <w:jc w:val="both"/>
      </w:pPr>
    </w:p>
    <w:p w14:paraId="6EF7DCDB" w14:textId="3FCDC78E" w:rsidR="00D74C1F" w:rsidRDefault="00D74C1F" w:rsidP="008D3F0E">
      <w:pPr>
        <w:spacing w:after="0" w:line="276" w:lineRule="auto"/>
        <w:jc w:val="both"/>
        <w:rPr>
          <w:lang w:val="es-PA"/>
        </w:rPr>
      </w:pPr>
      <w:r w:rsidRPr="0B46DDF5">
        <w:rPr>
          <w:lang w:val="es-PA"/>
        </w:rPr>
        <w:t xml:space="preserve">“América Latina y el Caribe es una región solución para muchos de los grandes desafíos globales, y el enorme potencial de sus zonas rurales es una muestra clara de ello. Estos territorios pueden contribuir decisivamente al crecimiento, la seguridad alimentaria, la sostenibilidad ambiental y la cohesión social de la región. Pero para aprovechar plenamente ese potencial debemos invertir en infraestructura, servicios, </w:t>
      </w:r>
      <w:r w:rsidR="75295E19" w:rsidRPr="0B46DDF5">
        <w:rPr>
          <w:lang w:val="es-PA"/>
        </w:rPr>
        <w:t xml:space="preserve">tecnología, </w:t>
      </w:r>
      <w:r w:rsidRPr="0B46DDF5">
        <w:rPr>
          <w:lang w:val="es-PA"/>
        </w:rPr>
        <w:t>conectividad y oportunidades que mejoren la calidad de vida de millones de personas en el mundo rural”, afirmó Sergio Díaz-Granados</w:t>
      </w:r>
      <w:r w:rsidR="00C70AAD" w:rsidRPr="0B46DDF5">
        <w:rPr>
          <w:lang w:val="es-PA"/>
        </w:rPr>
        <w:t xml:space="preserve">, Presidente Ejecutivo de CAF. </w:t>
      </w:r>
    </w:p>
    <w:p w14:paraId="546D76EA" w14:textId="77777777" w:rsidR="008D3F0E" w:rsidRPr="00ED47F5" w:rsidRDefault="008D3F0E" w:rsidP="008D3F0E">
      <w:pPr>
        <w:spacing w:after="0" w:line="276" w:lineRule="auto"/>
        <w:jc w:val="both"/>
        <w:rPr>
          <w:lang w:val="es-PA"/>
        </w:rPr>
      </w:pPr>
    </w:p>
    <w:p w14:paraId="30BC0349" w14:textId="3AFD5808" w:rsidR="004065E0" w:rsidRPr="004065E0" w:rsidRDefault="004065E0" w:rsidP="008D3F0E">
      <w:pPr>
        <w:spacing w:after="0" w:line="276" w:lineRule="auto"/>
        <w:jc w:val="both"/>
        <w:rPr>
          <w:b/>
          <w:bCs/>
        </w:rPr>
      </w:pPr>
      <w:r w:rsidRPr="3403C8D9">
        <w:rPr>
          <w:b/>
          <w:bCs/>
        </w:rPr>
        <w:t>Oportunidades para la diversificación de las economías</w:t>
      </w:r>
    </w:p>
    <w:p w14:paraId="6FF96096" w14:textId="0677D12B" w:rsidR="008D0AF1" w:rsidRDefault="349AC75D" w:rsidP="008D3F0E">
      <w:pPr>
        <w:spacing w:after="0" w:line="276" w:lineRule="auto"/>
        <w:jc w:val="both"/>
      </w:pPr>
      <w:r>
        <w:t>E</w:t>
      </w:r>
      <w:r w:rsidR="008D0AF1">
        <w:t xml:space="preserve">l reporte subraya que el mundo rural ha experimentado profundas transformaciones en las últimas décadas. La creciente diversificación de las actividades económicas y su mayor articulación con los centros urbanos han dado lugar a una nueva realidad productiva y social. </w:t>
      </w:r>
      <w:r w:rsidR="004065E0">
        <w:t>Por ejemplo</w:t>
      </w:r>
      <w:r w:rsidR="008D0AF1">
        <w:t>, menos de la mitad de los trabajadores rurales se desempeña actualmente en actividades agropecuarias, mientras que un número creciente de personas genera ingresos en sectores como servicios, turismo, logística, comercio, manufactura, minería y energía. Esta tendencia abre oportunidades para diversificar las economías rurales, impulsar empleos de mayor calidad y fortalecer el desarrollo territorial.</w:t>
      </w:r>
    </w:p>
    <w:p w14:paraId="3DA01026" w14:textId="77777777" w:rsidR="008D3F0E" w:rsidRPr="008D0AF1" w:rsidRDefault="008D3F0E" w:rsidP="008D3F0E">
      <w:pPr>
        <w:spacing w:after="0" w:line="276" w:lineRule="auto"/>
        <w:jc w:val="both"/>
      </w:pPr>
    </w:p>
    <w:p w14:paraId="0F1292CD" w14:textId="40985E1E" w:rsidR="004065E0" w:rsidRDefault="008D0AF1" w:rsidP="008D3F0E">
      <w:pPr>
        <w:spacing w:after="0" w:line="276" w:lineRule="auto"/>
        <w:jc w:val="both"/>
      </w:pPr>
      <w:r w:rsidRPr="008D0AF1">
        <w:lastRenderedPageBreak/>
        <w:t>Sin embargo, este potencial convive con importantes desafíos estructurales. Las zonas rurales concentran algunos de los rezagos sociales y económicos más persistentes de la región. La pobreza extrema, la baja productividad, la informalidad laboral y las brechas en infraestructura, conectividad y acceso a servicios</w:t>
      </w:r>
      <w:r w:rsidR="002F6FFB">
        <w:t xml:space="preserve"> básicos</w:t>
      </w:r>
      <w:r w:rsidRPr="008D0AF1">
        <w:t xml:space="preserve"> continúan limitando las oportunidades de millones de personas.</w:t>
      </w:r>
    </w:p>
    <w:p w14:paraId="305F7659" w14:textId="77777777" w:rsidR="008D3F0E" w:rsidRDefault="008D3F0E" w:rsidP="008D3F0E">
      <w:pPr>
        <w:spacing w:after="0" w:line="276" w:lineRule="auto"/>
        <w:jc w:val="both"/>
      </w:pPr>
    </w:p>
    <w:p w14:paraId="621B0D1A" w14:textId="594BF8D1" w:rsidR="008D0AF1" w:rsidRDefault="008D0AF1" w:rsidP="008D3F0E">
      <w:pPr>
        <w:spacing w:after="0" w:line="276" w:lineRule="auto"/>
        <w:jc w:val="both"/>
      </w:pPr>
      <w:r w:rsidRPr="008D0AF1">
        <w:t>El informe evidencia, además, brechas significativas en productividad. La productividad agropecuaria por trabajador es aproximadamente el doble en países de Europa y Asia, y hasta 12 veces mayor en Estados Unidos y Canadá, lo que refleja una baja adopción de capital, tecnología y prácticas productivas más eficientes en la región.</w:t>
      </w:r>
    </w:p>
    <w:p w14:paraId="52954483" w14:textId="77777777" w:rsidR="008D3F0E" w:rsidRPr="008D0AF1" w:rsidRDefault="008D3F0E" w:rsidP="008D3F0E">
      <w:pPr>
        <w:spacing w:after="0" w:line="276" w:lineRule="auto"/>
        <w:jc w:val="both"/>
      </w:pPr>
    </w:p>
    <w:p w14:paraId="42D283E6" w14:textId="43724695" w:rsidR="008D0AF1" w:rsidRDefault="008D0AF1" w:rsidP="008D3F0E">
      <w:pPr>
        <w:spacing w:after="0" w:line="276" w:lineRule="auto"/>
        <w:jc w:val="both"/>
      </w:pPr>
      <w:r w:rsidRPr="008D0AF1">
        <w:t>A esto se suman déficits importantes en acceso a servicios básicos: el 33% de la población rural no tiene cuenta bancaria ni utiliza dinero móvil; solo el 55% cuenta con acceso a agua gestionada de forma segura; apenas el 11% de los hogares dispone de saneamiento adecuado conectado a red; y únicamente el 40% de la población vive a menos de dos kilómetros de una vía pavimentada.</w:t>
      </w:r>
    </w:p>
    <w:p w14:paraId="120A98AD" w14:textId="77777777" w:rsidR="008D3F0E" w:rsidRPr="008D0AF1" w:rsidRDefault="008D3F0E" w:rsidP="008D3F0E">
      <w:pPr>
        <w:spacing w:after="0" w:line="276" w:lineRule="auto"/>
        <w:jc w:val="both"/>
      </w:pPr>
    </w:p>
    <w:p w14:paraId="1FFC003F" w14:textId="3B8FD075" w:rsidR="008D0AF1" w:rsidRDefault="008D0AF1" w:rsidP="008D3F0E">
      <w:pPr>
        <w:spacing w:after="0" w:line="276" w:lineRule="auto"/>
        <w:jc w:val="both"/>
      </w:pPr>
      <w:r w:rsidRPr="008D0AF1">
        <w:t xml:space="preserve">Frente a este panorama, CAF propone una hoja de ruta integral orientada a transformar el potencial del mundo rural en desarrollo sostenible e inclusivo. Esta agenda combina políticas productivas, sociales y de infraestructura. </w:t>
      </w:r>
      <w:r w:rsidRPr="00F35A7B">
        <w:rPr>
          <w:b/>
          <w:bCs/>
        </w:rPr>
        <w:t>En el ámbito productivo</w:t>
      </w:r>
      <w:r w:rsidRPr="008D0AF1">
        <w:t xml:space="preserve">, promueve la adopción tecnológica, la digitalización, la diversificación y la agregación de valor, junto con el fortalecimiento de la gobernanza de los recursos naturales. </w:t>
      </w:r>
      <w:r w:rsidRPr="00F35A7B">
        <w:rPr>
          <w:b/>
          <w:bCs/>
        </w:rPr>
        <w:t>En el plano social</w:t>
      </w:r>
      <w:r w:rsidRPr="008D0AF1">
        <w:t xml:space="preserve">, enfatiza la necesidad de ampliar la protección social y desarrollar capacidades para acceder a empleos de mayor calidad. </w:t>
      </w:r>
      <w:r w:rsidRPr="00F35A7B">
        <w:rPr>
          <w:b/>
          <w:bCs/>
        </w:rPr>
        <w:t>En materia de servicios</w:t>
      </w:r>
      <w:r w:rsidRPr="008D0AF1">
        <w:t>, subraya la urgencia de cerrar las brechas tanto en acceso como en calidad.</w:t>
      </w:r>
    </w:p>
    <w:p w14:paraId="173CE768" w14:textId="77777777" w:rsidR="008D3F0E" w:rsidRPr="008D0AF1" w:rsidRDefault="008D3F0E" w:rsidP="008D3F0E">
      <w:pPr>
        <w:spacing w:after="0" w:line="276" w:lineRule="auto"/>
        <w:jc w:val="both"/>
      </w:pPr>
    </w:p>
    <w:p w14:paraId="5307EE97" w14:textId="1F2EC6C7" w:rsidR="00E54C3F" w:rsidRDefault="00E642E5" w:rsidP="008D3F0E">
      <w:pPr>
        <w:spacing w:after="0" w:line="276" w:lineRule="auto"/>
        <w:jc w:val="both"/>
      </w:pPr>
      <w:r>
        <w:t xml:space="preserve">El reporte se puede descargar aquí: </w:t>
      </w:r>
      <w:hyperlink r:id="rId11" w:history="1">
        <w:r w:rsidRPr="00E642E5">
          <w:rPr>
            <w:rStyle w:val="Hipervnculo"/>
          </w:rPr>
          <w:t>Raíces del futuro: El nuevo mundo rural de América Latina y el Caribe</w:t>
        </w:r>
      </w:hyperlink>
      <w:r>
        <w:t xml:space="preserve"> </w:t>
      </w:r>
    </w:p>
    <w:sectPr w:rsidR="00E54C3F">
      <w:headerReference w:type="defaul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ABCFEB" w14:textId="77777777" w:rsidR="00303962" w:rsidRDefault="00303962" w:rsidP="00040973">
      <w:pPr>
        <w:spacing w:after="0" w:line="240" w:lineRule="auto"/>
      </w:pPr>
      <w:r>
        <w:separator/>
      </w:r>
    </w:p>
  </w:endnote>
  <w:endnote w:type="continuationSeparator" w:id="0">
    <w:p w14:paraId="082672B4" w14:textId="77777777" w:rsidR="00303962" w:rsidRDefault="00303962" w:rsidP="000409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458A0F" w14:textId="77777777" w:rsidR="00303962" w:rsidRDefault="00303962" w:rsidP="00040973">
      <w:pPr>
        <w:spacing w:after="0" w:line="240" w:lineRule="auto"/>
      </w:pPr>
      <w:r>
        <w:separator/>
      </w:r>
    </w:p>
  </w:footnote>
  <w:footnote w:type="continuationSeparator" w:id="0">
    <w:p w14:paraId="3D0A5474" w14:textId="77777777" w:rsidR="00303962" w:rsidRDefault="00303962" w:rsidP="000409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B510D7" w14:textId="731A4B5E" w:rsidR="00D5799B" w:rsidRDefault="008D3F0E" w:rsidP="00040973">
    <w:pPr>
      <w:pStyle w:val="Encabezado"/>
      <w:jc w:val="center"/>
      <w:rPr>
        <w:color w:val="FF0000"/>
        <w:lang w:val="es-MX"/>
      </w:rPr>
    </w:pPr>
    <w:r w:rsidRPr="008D3F0E">
      <w:rPr>
        <w:noProof/>
        <w:color w:val="FF0000"/>
        <w:lang w:val="en-US"/>
      </w:rPr>
      <w:drawing>
        <wp:anchor distT="0" distB="0" distL="114300" distR="114300" simplePos="0" relativeHeight="251658240" behindDoc="0" locked="0" layoutInCell="1" allowOverlap="1" wp14:anchorId="52CA4E02" wp14:editId="70C93B86">
          <wp:simplePos x="0" y="0"/>
          <wp:positionH relativeFrom="column">
            <wp:posOffset>-899160</wp:posOffset>
          </wp:positionH>
          <wp:positionV relativeFrom="page">
            <wp:posOffset>152400</wp:posOffset>
          </wp:positionV>
          <wp:extent cx="2313305" cy="476250"/>
          <wp:effectExtent l="0" t="0" r="0" b="0"/>
          <wp:wrapSquare wrapText="bothSides"/>
          <wp:docPr id="2" name="Imagen 2" descr="C:\Users\josea\OneDrive\Escritorio\Carpeta de Trabajo\CAF\Logo nuevo CAF\Logotipo_CAF_-_Banco_de_Desarrollo_de_América_Latina_y_el_Carib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sea\OneDrive\Escritorio\Carpeta de Trabajo\CAF\Logo nuevo CAF\Logotipo_CAF_-_Banco_de_Desarrollo_de_América_Latina_y_el_Caribe.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13305" cy="476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5799B">
      <w:rPr>
        <w:color w:val="FF0000"/>
        <w:lang w:val="es-MX"/>
      </w:rPr>
      <w:t xml:space="preserve"> </w:t>
    </w:r>
  </w:p>
  <w:p w14:paraId="4C7AB055" w14:textId="77777777" w:rsidR="00D5799B" w:rsidRDefault="00D5799B" w:rsidP="00040973">
    <w:pPr>
      <w:pStyle w:val="Encabezado"/>
      <w:jc w:val="center"/>
      <w:rPr>
        <w:color w:val="FF0000"/>
        <w:lang w:val="es-MX"/>
      </w:rPr>
    </w:pPr>
  </w:p>
  <w:p w14:paraId="2E3BA6B1" w14:textId="77777777" w:rsidR="00D5799B" w:rsidRDefault="00D5799B" w:rsidP="00040973">
    <w:pPr>
      <w:pStyle w:val="Encabezado"/>
      <w:jc w:val="center"/>
      <w:rPr>
        <w:color w:val="FF0000"/>
        <w:lang w:val="es-MX"/>
      </w:rPr>
    </w:pPr>
  </w:p>
  <w:p w14:paraId="019D3209" w14:textId="77777777" w:rsidR="00D5799B" w:rsidRPr="00040973" w:rsidRDefault="00D5799B" w:rsidP="00040973">
    <w:pPr>
      <w:pStyle w:val="Encabezado"/>
      <w:jc w:val="center"/>
      <w:rPr>
        <w:color w:val="FF0000"/>
        <w:lang w:val="es-MX"/>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D500FA"/>
    <w:multiLevelType w:val="hybridMultilevel"/>
    <w:tmpl w:val="3C260D20"/>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1" w15:restartNumberingAfterBreak="0">
    <w:nsid w:val="39164324"/>
    <w:multiLevelType w:val="hybridMultilevel"/>
    <w:tmpl w:val="EEEA50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0AF1"/>
    <w:rsid w:val="00026888"/>
    <w:rsid w:val="00040973"/>
    <w:rsid w:val="000B6108"/>
    <w:rsid w:val="000C0CB7"/>
    <w:rsid w:val="000C41F1"/>
    <w:rsid w:val="000C4307"/>
    <w:rsid w:val="002C2CB0"/>
    <w:rsid w:val="002F6FFB"/>
    <w:rsid w:val="00303962"/>
    <w:rsid w:val="00337C4F"/>
    <w:rsid w:val="0039149F"/>
    <w:rsid w:val="004065E0"/>
    <w:rsid w:val="005231E9"/>
    <w:rsid w:val="00563D14"/>
    <w:rsid w:val="00582D6E"/>
    <w:rsid w:val="006567E0"/>
    <w:rsid w:val="0069044C"/>
    <w:rsid w:val="006F6053"/>
    <w:rsid w:val="006F793C"/>
    <w:rsid w:val="007C7CD8"/>
    <w:rsid w:val="007E63B4"/>
    <w:rsid w:val="008D0AF1"/>
    <w:rsid w:val="008D3F0E"/>
    <w:rsid w:val="00940468"/>
    <w:rsid w:val="00A16030"/>
    <w:rsid w:val="00A9058B"/>
    <w:rsid w:val="00AA1B97"/>
    <w:rsid w:val="00AF6957"/>
    <w:rsid w:val="00B42CF4"/>
    <w:rsid w:val="00B47B73"/>
    <w:rsid w:val="00BC14BF"/>
    <w:rsid w:val="00BE51A7"/>
    <w:rsid w:val="00BF7479"/>
    <w:rsid w:val="00C23001"/>
    <w:rsid w:val="00C479A5"/>
    <w:rsid w:val="00C70AAD"/>
    <w:rsid w:val="00CC2504"/>
    <w:rsid w:val="00D13820"/>
    <w:rsid w:val="00D5799B"/>
    <w:rsid w:val="00D74C1F"/>
    <w:rsid w:val="00D86464"/>
    <w:rsid w:val="00DA657F"/>
    <w:rsid w:val="00DB3E13"/>
    <w:rsid w:val="00DC010E"/>
    <w:rsid w:val="00DD6716"/>
    <w:rsid w:val="00DE22C0"/>
    <w:rsid w:val="00DF3F4F"/>
    <w:rsid w:val="00DF41F4"/>
    <w:rsid w:val="00E33CDE"/>
    <w:rsid w:val="00E54C3F"/>
    <w:rsid w:val="00E642E5"/>
    <w:rsid w:val="00ED2B37"/>
    <w:rsid w:val="00ED47F5"/>
    <w:rsid w:val="00EE750E"/>
    <w:rsid w:val="00F01E4F"/>
    <w:rsid w:val="00F1686C"/>
    <w:rsid w:val="00F35A7B"/>
    <w:rsid w:val="00F35F6A"/>
    <w:rsid w:val="00F95B2C"/>
    <w:rsid w:val="00FC3B5F"/>
    <w:rsid w:val="0B46DDF5"/>
    <w:rsid w:val="16ED277C"/>
    <w:rsid w:val="25A4161F"/>
    <w:rsid w:val="3403C8D9"/>
    <w:rsid w:val="349AC75D"/>
    <w:rsid w:val="52FA07D0"/>
    <w:rsid w:val="73A4C7AF"/>
    <w:rsid w:val="75295E19"/>
    <w:rsid w:val="7D37E167"/>
  </w:rsids>
  <m:mathPr>
    <m:mathFont m:val="Cambria Math"/>
    <m:brkBin m:val="before"/>
    <m:brkBinSub m:val="--"/>
    <m:smallFrac m:val="0"/>
    <m:dispDef/>
    <m:lMargin m:val="0"/>
    <m:rMargin m:val="0"/>
    <m:defJc m:val="centerGroup"/>
    <m:wrapIndent m:val="1440"/>
    <m:intLim m:val="subSup"/>
    <m:naryLim m:val="undOvr"/>
  </m:mathPr>
  <w:themeFontLang w:val="es-A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88ED46"/>
  <w15:chartTrackingRefBased/>
  <w15:docId w15:val="{FB8BE2FD-C119-43F5-BD63-990484E35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s-A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8D0AF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D0AF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D0AF1"/>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D0AF1"/>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D0AF1"/>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D0AF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D0AF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D0AF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D0AF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D0AF1"/>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D0AF1"/>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D0AF1"/>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D0AF1"/>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D0AF1"/>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D0AF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D0AF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D0AF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D0AF1"/>
    <w:rPr>
      <w:rFonts w:eastAsiaTheme="majorEastAsia" w:cstheme="majorBidi"/>
      <w:color w:val="272727" w:themeColor="text1" w:themeTint="D8"/>
    </w:rPr>
  </w:style>
  <w:style w:type="paragraph" w:styleId="Ttulo">
    <w:name w:val="Title"/>
    <w:basedOn w:val="Normal"/>
    <w:next w:val="Normal"/>
    <w:link w:val="TtuloCar"/>
    <w:uiPriority w:val="10"/>
    <w:qFormat/>
    <w:rsid w:val="008D0AF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D0AF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D0AF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D0AF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D0AF1"/>
    <w:pPr>
      <w:spacing w:before="160"/>
      <w:jc w:val="center"/>
    </w:pPr>
    <w:rPr>
      <w:i/>
      <w:iCs/>
      <w:color w:val="404040" w:themeColor="text1" w:themeTint="BF"/>
    </w:rPr>
  </w:style>
  <w:style w:type="character" w:customStyle="1" w:styleId="CitaCar">
    <w:name w:val="Cita Car"/>
    <w:basedOn w:val="Fuentedeprrafopredeter"/>
    <w:link w:val="Cita"/>
    <w:uiPriority w:val="29"/>
    <w:rsid w:val="008D0AF1"/>
    <w:rPr>
      <w:i/>
      <w:iCs/>
      <w:color w:val="404040" w:themeColor="text1" w:themeTint="BF"/>
    </w:rPr>
  </w:style>
  <w:style w:type="paragraph" w:styleId="Prrafodelista">
    <w:name w:val="List Paragraph"/>
    <w:basedOn w:val="Normal"/>
    <w:uiPriority w:val="34"/>
    <w:qFormat/>
    <w:rsid w:val="008D0AF1"/>
    <w:pPr>
      <w:ind w:left="720"/>
      <w:contextualSpacing/>
    </w:pPr>
  </w:style>
  <w:style w:type="character" w:styleId="nfasisintenso">
    <w:name w:val="Intense Emphasis"/>
    <w:basedOn w:val="Fuentedeprrafopredeter"/>
    <w:uiPriority w:val="21"/>
    <w:qFormat/>
    <w:rsid w:val="008D0AF1"/>
    <w:rPr>
      <w:i/>
      <w:iCs/>
      <w:color w:val="0F4761" w:themeColor="accent1" w:themeShade="BF"/>
    </w:rPr>
  </w:style>
  <w:style w:type="paragraph" w:styleId="Citadestacada">
    <w:name w:val="Intense Quote"/>
    <w:basedOn w:val="Normal"/>
    <w:next w:val="Normal"/>
    <w:link w:val="CitadestacadaCar"/>
    <w:uiPriority w:val="30"/>
    <w:qFormat/>
    <w:rsid w:val="008D0AF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D0AF1"/>
    <w:rPr>
      <w:i/>
      <w:iCs/>
      <w:color w:val="0F4761" w:themeColor="accent1" w:themeShade="BF"/>
    </w:rPr>
  </w:style>
  <w:style w:type="character" w:styleId="Referenciaintensa">
    <w:name w:val="Intense Reference"/>
    <w:basedOn w:val="Fuentedeprrafopredeter"/>
    <w:uiPriority w:val="32"/>
    <w:qFormat/>
    <w:rsid w:val="008D0AF1"/>
    <w:rPr>
      <w:b/>
      <w:bCs/>
      <w:smallCaps/>
      <w:color w:val="0F4761" w:themeColor="accent1" w:themeShade="BF"/>
      <w:spacing w:val="5"/>
    </w:rPr>
  </w:style>
  <w:style w:type="character" w:styleId="Refdecomentario">
    <w:name w:val="annotation reference"/>
    <w:basedOn w:val="Fuentedeprrafopredeter"/>
    <w:uiPriority w:val="99"/>
    <w:semiHidden/>
    <w:unhideWhenUsed/>
    <w:rsid w:val="008D0AF1"/>
    <w:rPr>
      <w:sz w:val="16"/>
      <w:szCs w:val="16"/>
    </w:rPr>
  </w:style>
  <w:style w:type="paragraph" w:styleId="Textocomentario">
    <w:name w:val="annotation text"/>
    <w:basedOn w:val="Normal"/>
    <w:link w:val="TextocomentarioCar"/>
    <w:uiPriority w:val="99"/>
    <w:unhideWhenUsed/>
    <w:rsid w:val="008D0AF1"/>
    <w:pPr>
      <w:spacing w:line="240" w:lineRule="auto"/>
    </w:pPr>
    <w:rPr>
      <w:sz w:val="20"/>
      <w:szCs w:val="20"/>
      <w:lang w:val="es-PA"/>
    </w:rPr>
  </w:style>
  <w:style w:type="character" w:customStyle="1" w:styleId="TextocomentarioCar">
    <w:name w:val="Texto comentario Car"/>
    <w:basedOn w:val="Fuentedeprrafopredeter"/>
    <w:link w:val="Textocomentario"/>
    <w:uiPriority w:val="99"/>
    <w:rsid w:val="008D0AF1"/>
    <w:rPr>
      <w:sz w:val="20"/>
      <w:szCs w:val="20"/>
      <w:lang w:val="es-PA"/>
    </w:rPr>
  </w:style>
  <w:style w:type="paragraph" w:styleId="Asuntodelcomentario">
    <w:name w:val="annotation subject"/>
    <w:basedOn w:val="Textocomentario"/>
    <w:next w:val="Textocomentario"/>
    <w:link w:val="AsuntodelcomentarioCar"/>
    <w:uiPriority w:val="99"/>
    <w:semiHidden/>
    <w:unhideWhenUsed/>
    <w:rsid w:val="006F793C"/>
    <w:rPr>
      <w:b/>
      <w:bCs/>
      <w:lang w:val="es-AR"/>
    </w:rPr>
  </w:style>
  <w:style w:type="character" w:customStyle="1" w:styleId="AsuntodelcomentarioCar">
    <w:name w:val="Asunto del comentario Car"/>
    <w:basedOn w:val="TextocomentarioCar"/>
    <w:link w:val="Asuntodelcomentario"/>
    <w:uiPriority w:val="99"/>
    <w:semiHidden/>
    <w:rsid w:val="006F793C"/>
    <w:rPr>
      <w:b/>
      <w:bCs/>
      <w:sz w:val="20"/>
      <w:szCs w:val="20"/>
      <w:lang w:val="es-PA"/>
    </w:rPr>
  </w:style>
  <w:style w:type="paragraph" w:styleId="Encabezado">
    <w:name w:val="header"/>
    <w:basedOn w:val="Normal"/>
    <w:link w:val="EncabezadoCar"/>
    <w:uiPriority w:val="99"/>
    <w:unhideWhenUsed/>
    <w:rsid w:val="0004097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40973"/>
  </w:style>
  <w:style w:type="paragraph" w:styleId="Piedepgina">
    <w:name w:val="footer"/>
    <w:basedOn w:val="Normal"/>
    <w:link w:val="PiedepginaCar"/>
    <w:uiPriority w:val="99"/>
    <w:unhideWhenUsed/>
    <w:rsid w:val="0004097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40973"/>
  </w:style>
  <w:style w:type="paragraph" w:styleId="NormalWeb">
    <w:name w:val="Normal (Web)"/>
    <w:basedOn w:val="Normal"/>
    <w:uiPriority w:val="99"/>
    <w:semiHidden/>
    <w:unhideWhenUsed/>
    <w:rsid w:val="00D74C1F"/>
    <w:rPr>
      <w:rFonts w:ascii="Times New Roman" w:hAnsi="Times New Roman" w:cs="Times New Roman"/>
      <w:sz w:val="24"/>
      <w:szCs w:val="24"/>
    </w:rPr>
  </w:style>
  <w:style w:type="paragraph" w:styleId="Revisin">
    <w:name w:val="Revision"/>
    <w:hidden/>
    <w:uiPriority w:val="99"/>
    <w:semiHidden/>
    <w:rsid w:val="002F6FFB"/>
    <w:pPr>
      <w:spacing w:after="0" w:line="240" w:lineRule="auto"/>
    </w:pPr>
  </w:style>
  <w:style w:type="character" w:styleId="Hipervnculo">
    <w:name w:val="Hyperlink"/>
    <w:basedOn w:val="Fuentedeprrafopredeter"/>
    <w:uiPriority w:val="99"/>
    <w:unhideWhenUsed/>
    <w:rsid w:val="00A9058B"/>
    <w:rPr>
      <w:color w:val="467886" w:themeColor="hyperlink"/>
      <w:u w:val="single"/>
    </w:rPr>
  </w:style>
  <w:style w:type="character" w:customStyle="1" w:styleId="UnresolvedMention">
    <w:name w:val="Unresolved Mention"/>
    <w:basedOn w:val="Fuentedeprrafopredeter"/>
    <w:uiPriority w:val="99"/>
    <w:semiHidden/>
    <w:unhideWhenUsed/>
    <w:rsid w:val="00A9058B"/>
    <w:rPr>
      <w:color w:val="605E5C"/>
      <w:shd w:val="clear" w:color="auto" w:fill="E1DFDD"/>
    </w:rPr>
  </w:style>
  <w:style w:type="character" w:styleId="Hipervnculovisitado">
    <w:name w:val="FollowedHyperlink"/>
    <w:basedOn w:val="Fuentedeprrafopredeter"/>
    <w:uiPriority w:val="99"/>
    <w:semiHidden/>
    <w:unhideWhenUsed/>
    <w:rsid w:val="00A9058B"/>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scioteca.caf.com/handle/123456789/2621" TargetMode="External"/><Relationship Id="rId5" Type="http://schemas.openxmlformats.org/officeDocument/2006/relationships/styles" Target="styles.xml"/><Relationship Id="rId10" Type="http://schemas.openxmlformats.org/officeDocument/2006/relationships/hyperlink" Target="https://scioteca.caf.com/handle/123456789/2621"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B6B353F23439A47AD0A3BE888631942" ma:contentTypeVersion="16" ma:contentTypeDescription="Create a new document." ma:contentTypeScope="" ma:versionID="9be784b505194bfaa018c701cd5af011">
  <xsd:schema xmlns:xsd="http://www.w3.org/2001/XMLSchema" xmlns:xs="http://www.w3.org/2001/XMLSchema" xmlns:p="http://schemas.microsoft.com/office/2006/metadata/properties" xmlns:ns2="b1a068da-d441-47e2-9852-7bef1888629b" xmlns:ns3="fdee9089-3215-4894-b236-63025ac87183" targetNamespace="http://schemas.microsoft.com/office/2006/metadata/properties" ma:root="true" ma:fieldsID="4070da0a2f9b2c8989603d485890095a" ns2:_="" ns3:_="">
    <xsd:import namespace="b1a068da-d441-47e2-9852-7bef1888629b"/>
    <xsd:import namespace="fdee9089-3215-4894-b236-63025ac8718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DateTaken" minOccurs="0"/>
                <xsd:element ref="ns2:MediaLengthInSeconds" minOccurs="0"/>
                <xsd:element ref="ns2:lcf76f155ced4ddcb4097134ff3c332f" minOccurs="0"/>
                <xsd:element ref="ns3:TaxCatchAll"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1a068da-d441-47e2-9852-7bef1888629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5698878-b331-436b-83d6-e56cb5996521" ma:termSetId="09814cd3-568e-fe90-9814-8d621ff8fb84" ma:anchorId="fba54fb3-c3e1-fe81-a776-ca4b69148c4d" ma:open="true" ma:isKeyword="false">
      <xsd:complexType>
        <xsd:sequence>
          <xsd:element ref="pc:Terms" minOccurs="0" maxOccurs="1"/>
        </xsd:sequence>
      </xsd:complex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dee9089-3215-4894-b236-63025ac8718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9a28e6d0-b00e-4c0b-be37-eacdd0d3911e}" ma:internalName="TaxCatchAll" ma:showField="CatchAllData" ma:web="fdee9089-3215-4894-b236-63025ac8718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1a068da-d441-47e2-9852-7bef1888629b">
      <Terms xmlns="http://schemas.microsoft.com/office/infopath/2007/PartnerControls"/>
    </lcf76f155ced4ddcb4097134ff3c332f>
    <TaxCatchAll xmlns="fdee9089-3215-4894-b236-63025ac87183" xsi:nil="true"/>
  </documentManagement>
</p:properties>
</file>

<file path=customXml/itemProps1.xml><?xml version="1.0" encoding="utf-8"?>
<ds:datastoreItem xmlns:ds="http://schemas.openxmlformats.org/officeDocument/2006/customXml" ds:itemID="{4E97E43E-83CA-4DA3-979F-379D6626E2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1a068da-d441-47e2-9852-7bef1888629b"/>
    <ds:schemaRef ds:uri="fdee9089-3215-4894-b236-63025ac871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352CD43-5A2F-4E58-8B9D-1D2BDA86FF24}">
  <ds:schemaRefs>
    <ds:schemaRef ds:uri="http://schemas.microsoft.com/sharepoint/v3/contenttype/forms"/>
  </ds:schemaRefs>
</ds:datastoreItem>
</file>

<file path=customXml/itemProps3.xml><?xml version="1.0" encoding="utf-8"?>
<ds:datastoreItem xmlns:ds="http://schemas.openxmlformats.org/officeDocument/2006/customXml" ds:itemID="{5E4ACE20-8F7F-4566-91E0-85FB22048286}">
  <ds:schemaRefs>
    <ds:schemaRef ds:uri="http://schemas.microsoft.com/office/2006/metadata/properties"/>
    <ds:schemaRef ds:uri="http://schemas.microsoft.com/office/infopath/2007/PartnerControls"/>
    <ds:schemaRef ds:uri="b1a068da-d441-47e2-9852-7bef1888629b"/>
    <ds:schemaRef ds:uri="fdee9089-3215-4894-b236-63025ac87183"/>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756</Words>
  <Characters>4313</Characters>
  <Application>Microsoft Office Word</Application>
  <DocSecurity>0</DocSecurity>
  <Lines>35</Lines>
  <Paragraphs>10</Paragraphs>
  <ScaleCrop>false</ScaleCrop>
  <Company/>
  <LinksUpToDate>false</LinksUpToDate>
  <CharactersWithSpaces>5059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ODRIOZOLA, JUAN</dc:creator>
  <cp:keywords/>
  <dc:description/>
  <cp:lastModifiedBy>José Antonio De Gracia</cp:lastModifiedBy>
  <cp:revision>19</cp:revision>
  <dcterms:created xsi:type="dcterms:W3CDTF">2026-04-17T03:23:00Z</dcterms:created>
  <dcterms:modified xsi:type="dcterms:W3CDTF">2026-04-21T18:45:00Z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c03f50a-64db-4deb-af9d-b71d9c93bcbc_Enabled">
    <vt:lpwstr>true</vt:lpwstr>
  </property>
  <property fmtid="{D5CDD505-2E9C-101B-9397-08002B2CF9AE}" pid="3" name="MSIP_Label_9c03f50a-64db-4deb-af9d-b71d9c93bcbc_SetDate">
    <vt:lpwstr>2026-04-16T12:52:27Z</vt:lpwstr>
  </property>
  <property fmtid="{D5CDD505-2E9C-101B-9397-08002B2CF9AE}" pid="4" name="MSIP_Label_9c03f50a-64db-4deb-af9d-b71d9c93bcbc_Method">
    <vt:lpwstr>Standard</vt:lpwstr>
  </property>
  <property fmtid="{D5CDD505-2E9C-101B-9397-08002B2CF9AE}" pid="5" name="MSIP_Label_9c03f50a-64db-4deb-af9d-b71d9c93bcbc_Name">
    <vt:lpwstr>IN1970NO02</vt:lpwstr>
  </property>
  <property fmtid="{D5CDD505-2E9C-101B-9397-08002B2CF9AE}" pid="6" name="MSIP_Label_9c03f50a-64db-4deb-af9d-b71d9c93bcbc_SiteId">
    <vt:lpwstr>863e38af-aa47-45c7-a525-20465c654244</vt:lpwstr>
  </property>
  <property fmtid="{D5CDD505-2E9C-101B-9397-08002B2CF9AE}" pid="7" name="MSIP_Label_9c03f50a-64db-4deb-af9d-b71d9c93bcbc_ActionId">
    <vt:lpwstr>44837313-afcb-4369-bfa9-b9451588dc10</vt:lpwstr>
  </property>
  <property fmtid="{D5CDD505-2E9C-101B-9397-08002B2CF9AE}" pid="8" name="MSIP_Label_9c03f50a-64db-4deb-af9d-b71d9c93bcbc_ContentBits">
    <vt:lpwstr>0</vt:lpwstr>
  </property>
  <property fmtid="{D5CDD505-2E9C-101B-9397-08002B2CF9AE}" pid="9" name="MSIP_Label_9c03f50a-64db-4deb-af9d-b71d9c93bcbc_Tag">
    <vt:lpwstr>10, 3, 0, 1</vt:lpwstr>
  </property>
  <property fmtid="{D5CDD505-2E9C-101B-9397-08002B2CF9AE}" pid="10" name="ContentTypeId">
    <vt:lpwstr>0x0101000B6B353F23439A47AD0A3BE888631942</vt:lpwstr>
  </property>
  <property fmtid="{D5CDD505-2E9C-101B-9397-08002B2CF9AE}" pid="11" name="MediaServiceImageTags">
    <vt:lpwstr/>
  </property>
</Properties>
</file>