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65FC5" w:rsidRDefault="00265FC5" w:rsidP="00265FC5">
      <w:pPr>
        <w:jc w:val="both"/>
        <w:rPr>
          <w:b/>
        </w:rPr>
      </w:pPr>
      <w:bookmarkStart w:id="0" w:name="_GoBack"/>
      <w:bookmarkEnd w:id="0"/>
      <w:r w:rsidRPr="008B79F9">
        <w:rPr>
          <w:b/>
        </w:rPr>
        <w:t>De conformidad con las disposiciones del artículo 113 del Reglamento de la Asamblea Legislativa, el Departamento Secretaría del Directorio incorpora el presente texto al Sistema de Información Legislativa (SIL), de acuerdo con la versión electrónica suministrada</w:t>
      </w:r>
      <w:r>
        <w:rPr>
          <w:b/>
        </w:rPr>
        <w:t>.</w:t>
      </w:r>
    </w:p>
    <w:p w:rsidR="00327A13" w:rsidRPr="00184B19" w:rsidRDefault="00327A13"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327A13" w:rsidRPr="00184B19" w:rsidRDefault="00327A13"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F42C50"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7F15FC" w:rsidRPr="00184B19" w:rsidRDefault="00327A13"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r w:rsidRPr="00184B19">
        <w:rPr>
          <w:rFonts w:ascii="Arial" w:hAnsi="Arial" w:cs="Arial"/>
          <w:b/>
          <w:bCs/>
        </w:rPr>
        <w:t xml:space="preserve">ASAMBLEA LEGISLATIVA DE LA </w:t>
      </w:r>
      <w:r w:rsidR="007F15FC" w:rsidRPr="00184B19">
        <w:rPr>
          <w:rFonts w:ascii="Arial" w:hAnsi="Arial" w:cs="Arial"/>
          <w:b/>
          <w:bCs/>
        </w:rPr>
        <w:t>REPÚBLICA DE COSTA RICA</w:t>
      </w: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327A13" w:rsidRPr="00184B19" w:rsidRDefault="00327A13"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r w:rsidRPr="00184B19">
        <w:rPr>
          <w:rFonts w:ascii="Arial" w:hAnsi="Arial" w:cs="Arial"/>
          <w:b/>
          <w:bCs/>
        </w:rPr>
        <w:t>PROYECTO DE LEY</w:t>
      </w: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327A13" w:rsidRPr="00184B19" w:rsidRDefault="00327A13"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D84BCC" w:rsidRPr="00184B19" w:rsidRDefault="00B46C01"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r>
        <w:rPr>
          <w:rFonts w:ascii="Arial" w:hAnsi="Arial" w:cs="Arial"/>
          <w:b/>
        </w:rPr>
        <w:t>EXENCIÓN</w:t>
      </w:r>
      <w:r w:rsidR="00327A13" w:rsidRPr="00184B19">
        <w:rPr>
          <w:rFonts w:ascii="Arial" w:hAnsi="Arial" w:cs="Arial"/>
          <w:b/>
        </w:rPr>
        <w:t xml:space="preserve"> </w:t>
      </w:r>
      <w:r w:rsidR="009F6A36" w:rsidRPr="00184B19">
        <w:rPr>
          <w:rFonts w:ascii="Arial" w:hAnsi="Arial" w:cs="Arial"/>
          <w:b/>
        </w:rPr>
        <w:t>PARA LA</w:t>
      </w:r>
      <w:r w:rsidR="00327A13" w:rsidRPr="00184B19">
        <w:rPr>
          <w:rFonts w:ascii="Arial" w:hAnsi="Arial" w:cs="Arial"/>
          <w:b/>
        </w:rPr>
        <w:t xml:space="preserve"> </w:t>
      </w:r>
      <w:r w:rsidR="009F6A36" w:rsidRPr="00184B19">
        <w:rPr>
          <w:rFonts w:ascii="Arial" w:hAnsi="Arial" w:cs="Arial"/>
          <w:b/>
        </w:rPr>
        <w:t xml:space="preserve">APLICACIÓN </w:t>
      </w:r>
      <w:r w:rsidR="003E19B8" w:rsidRPr="00184B19">
        <w:rPr>
          <w:rFonts w:ascii="Arial" w:hAnsi="Arial" w:cs="Arial"/>
          <w:b/>
        </w:rPr>
        <w:t>DEL</w:t>
      </w:r>
      <w:r w:rsidR="00327A13" w:rsidRPr="00184B19">
        <w:rPr>
          <w:rFonts w:ascii="Arial" w:hAnsi="Arial" w:cs="Arial"/>
          <w:b/>
        </w:rPr>
        <w:t xml:space="preserve"> </w:t>
      </w:r>
      <w:r w:rsidR="009F6A36" w:rsidRPr="00184B19">
        <w:rPr>
          <w:rFonts w:ascii="Arial" w:hAnsi="Arial" w:cs="Arial"/>
          <w:b/>
        </w:rPr>
        <w:t>IMPUESTO SOBRE</w:t>
      </w:r>
      <w:r w:rsidR="003E19B8" w:rsidRPr="00184B19">
        <w:rPr>
          <w:rFonts w:ascii="Arial" w:hAnsi="Arial" w:cs="Arial"/>
          <w:b/>
        </w:rPr>
        <w:t xml:space="preserve"> </w:t>
      </w:r>
    </w:p>
    <w:p w:rsidR="007F15FC"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r w:rsidRPr="00184B19">
        <w:rPr>
          <w:rFonts w:ascii="Arial" w:hAnsi="Arial" w:cs="Arial"/>
          <w:b/>
        </w:rPr>
        <w:t>EL VALOR AGREGADO (IVA) A LA EDUCACIÓN</w:t>
      </w:r>
      <w:r w:rsidR="00C1131B">
        <w:rPr>
          <w:rFonts w:ascii="Arial" w:hAnsi="Arial" w:cs="Arial"/>
          <w:b/>
        </w:rPr>
        <w:t xml:space="preserve"> SUPERIOR PRIVADA</w:t>
      </w: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3E19B8" w:rsidRPr="00184B19" w:rsidRDefault="003E19B8"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3E19B8" w:rsidRPr="00184B19" w:rsidRDefault="003E19B8"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r w:rsidRPr="00184B19">
        <w:rPr>
          <w:rFonts w:ascii="Arial" w:hAnsi="Arial" w:cs="Arial"/>
          <w:b/>
        </w:rPr>
        <w:t>DE VARIOS DIPUTADOS Y DIPUTADAS</w:t>
      </w: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E41F40" w:rsidRPr="00184B19" w:rsidRDefault="00E41F4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rPr>
      </w:pPr>
    </w:p>
    <w:p w:rsidR="007F15FC" w:rsidRPr="00184B19" w:rsidRDefault="00265FC5"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r>
        <w:rPr>
          <w:rFonts w:ascii="Arial" w:hAnsi="Arial" w:cs="Arial"/>
          <w:b/>
        </w:rPr>
        <w:t>EXPEDIENTE N° 23.286</w:t>
      </w:r>
    </w:p>
    <w:p w:rsidR="007F15FC" w:rsidRPr="00184B19" w:rsidRDefault="007F15FC"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3E19B8" w:rsidRPr="00184B19" w:rsidRDefault="003E19B8"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3E19B8" w:rsidRPr="00184B19" w:rsidRDefault="003E19B8"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F42C50"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F42C50"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F42C50"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F42C50" w:rsidRPr="00184B19" w:rsidRDefault="00F42C50" w:rsidP="00920D52">
      <w:pPr>
        <w:pBdr>
          <w:top w:val="single" w:sz="4" w:space="1" w:color="auto"/>
          <w:left w:val="single" w:sz="4" w:space="4" w:color="auto"/>
          <w:bottom w:val="single" w:sz="4" w:space="1" w:color="auto"/>
          <w:right w:val="single" w:sz="4" w:space="4" w:color="auto"/>
        </w:pBdr>
        <w:spacing w:line="276" w:lineRule="auto"/>
        <w:jc w:val="center"/>
        <w:rPr>
          <w:rFonts w:ascii="Arial" w:hAnsi="Arial" w:cs="Arial"/>
          <w:b/>
          <w:bCs/>
        </w:rPr>
      </w:pPr>
    </w:p>
    <w:p w:rsidR="00F42C50" w:rsidRPr="00184B19" w:rsidRDefault="00F42C50" w:rsidP="00265FC5">
      <w:pPr>
        <w:pBdr>
          <w:top w:val="single" w:sz="4" w:space="1" w:color="auto"/>
          <w:left w:val="single" w:sz="4" w:space="4" w:color="auto"/>
          <w:bottom w:val="single" w:sz="4" w:space="1" w:color="auto"/>
          <w:right w:val="single" w:sz="4" w:space="4" w:color="auto"/>
        </w:pBdr>
        <w:spacing w:line="276" w:lineRule="auto"/>
        <w:rPr>
          <w:rFonts w:ascii="Arial" w:hAnsi="Arial" w:cs="Arial"/>
          <w:b/>
          <w:bCs/>
        </w:rPr>
      </w:pPr>
    </w:p>
    <w:p w:rsidR="00F0580B" w:rsidRPr="00184B19" w:rsidRDefault="00F0580B" w:rsidP="00920D52">
      <w:pPr>
        <w:tabs>
          <w:tab w:val="left" w:pos="1320"/>
        </w:tabs>
        <w:spacing w:line="276" w:lineRule="auto"/>
        <w:ind w:left="1320" w:hanging="1320"/>
        <w:jc w:val="both"/>
        <w:rPr>
          <w:rFonts w:ascii="Arial" w:hAnsi="Arial" w:cs="Arial"/>
          <w:b/>
          <w:bCs/>
          <w:lang w:val="es-CR"/>
        </w:rPr>
        <w:sectPr w:rsidR="00F0580B" w:rsidRPr="00184B19" w:rsidSect="00F0580B">
          <w:headerReference w:type="default" r:id="rId8"/>
          <w:pgSz w:w="12240" w:h="15840"/>
          <w:pgMar w:top="1417" w:right="1701" w:bottom="1417" w:left="1701" w:header="708" w:footer="708" w:gutter="0"/>
          <w:pgNumType w:start="1"/>
          <w:cols w:space="708"/>
          <w:titlePg/>
          <w:docGrid w:linePitch="360"/>
        </w:sectPr>
      </w:pPr>
    </w:p>
    <w:p w:rsidR="007F15FC" w:rsidRPr="00184B19" w:rsidRDefault="007F15FC" w:rsidP="00920D52">
      <w:pPr>
        <w:spacing w:line="276" w:lineRule="auto"/>
        <w:jc w:val="center"/>
        <w:rPr>
          <w:rFonts w:ascii="Arial" w:hAnsi="Arial" w:cs="Arial"/>
          <w:spacing w:val="5"/>
          <w:kern w:val="1"/>
          <w:lang w:val="es-MX"/>
        </w:rPr>
      </w:pPr>
      <w:r w:rsidRPr="00184B19">
        <w:rPr>
          <w:rFonts w:ascii="Arial" w:hAnsi="Arial" w:cs="Arial"/>
          <w:spacing w:val="5"/>
          <w:kern w:val="1"/>
          <w:lang w:val="es-MX"/>
        </w:rPr>
        <w:lastRenderedPageBreak/>
        <w:t>PROYECTO DE LEY</w:t>
      </w:r>
    </w:p>
    <w:p w:rsidR="007F15FC" w:rsidRPr="00184B19" w:rsidRDefault="007F15FC" w:rsidP="00920D52">
      <w:pPr>
        <w:spacing w:line="276" w:lineRule="auto"/>
        <w:jc w:val="center"/>
        <w:rPr>
          <w:rFonts w:ascii="Arial" w:hAnsi="Arial" w:cs="Arial"/>
          <w:b/>
          <w:spacing w:val="5"/>
          <w:kern w:val="1"/>
          <w:lang w:val="es-MX"/>
        </w:rPr>
      </w:pPr>
    </w:p>
    <w:p w:rsidR="00F42C50" w:rsidRPr="00184B19" w:rsidRDefault="00B46C01" w:rsidP="00920D52">
      <w:pPr>
        <w:spacing w:line="276" w:lineRule="auto"/>
        <w:jc w:val="center"/>
        <w:rPr>
          <w:rFonts w:ascii="Arial" w:hAnsi="Arial" w:cs="Arial"/>
          <w:b/>
        </w:rPr>
      </w:pPr>
      <w:r>
        <w:rPr>
          <w:rFonts w:ascii="Arial" w:hAnsi="Arial" w:cs="Arial"/>
          <w:b/>
        </w:rPr>
        <w:t>EXENCIÓN</w:t>
      </w:r>
      <w:r w:rsidR="00F42C50" w:rsidRPr="00184B19">
        <w:rPr>
          <w:rFonts w:ascii="Arial" w:hAnsi="Arial" w:cs="Arial"/>
          <w:b/>
        </w:rPr>
        <w:t xml:space="preserve"> PARA LA APLICACIÓN DEL IMPUESTO SOBRE </w:t>
      </w:r>
    </w:p>
    <w:p w:rsidR="00F42C50" w:rsidRPr="00184B19" w:rsidRDefault="00F42C50" w:rsidP="00920D52">
      <w:pPr>
        <w:spacing w:line="276" w:lineRule="auto"/>
        <w:jc w:val="center"/>
        <w:rPr>
          <w:rFonts w:ascii="Arial" w:hAnsi="Arial" w:cs="Arial"/>
          <w:b/>
        </w:rPr>
      </w:pPr>
      <w:r w:rsidRPr="00184B19">
        <w:rPr>
          <w:rFonts w:ascii="Arial" w:hAnsi="Arial" w:cs="Arial"/>
          <w:b/>
        </w:rPr>
        <w:t>EL VALOR AGREGADO (IVA) A LA EDUCACIÓN</w:t>
      </w:r>
      <w:r w:rsidR="00C1131B">
        <w:rPr>
          <w:rFonts w:ascii="Arial" w:hAnsi="Arial" w:cs="Arial"/>
          <w:b/>
        </w:rPr>
        <w:t xml:space="preserve"> SUPERIOR PRIVADA</w:t>
      </w:r>
    </w:p>
    <w:p w:rsidR="00E41F40" w:rsidRPr="00184B19" w:rsidRDefault="00E41F40" w:rsidP="00920D52">
      <w:pPr>
        <w:suppressAutoHyphens w:val="0"/>
        <w:spacing w:line="276" w:lineRule="auto"/>
        <w:jc w:val="center"/>
        <w:rPr>
          <w:rFonts w:ascii="Arial" w:hAnsi="Arial" w:cs="Arial"/>
          <w:b/>
          <w:bCs/>
          <w:lang w:eastAsia="es-CR"/>
        </w:rPr>
      </w:pPr>
    </w:p>
    <w:p w:rsidR="00E41F40" w:rsidRPr="00184B19" w:rsidRDefault="00E41F40" w:rsidP="00920D52">
      <w:pPr>
        <w:suppressAutoHyphens w:val="0"/>
        <w:spacing w:line="276" w:lineRule="auto"/>
        <w:jc w:val="right"/>
        <w:rPr>
          <w:rFonts w:ascii="Arial" w:hAnsi="Arial" w:cs="Arial"/>
          <w:b/>
          <w:bCs/>
          <w:lang w:eastAsia="es-CR"/>
        </w:rPr>
      </w:pPr>
    </w:p>
    <w:p w:rsidR="00D31895" w:rsidRPr="00184B19" w:rsidRDefault="00D31895" w:rsidP="00920D52">
      <w:pPr>
        <w:spacing w:line="276" w:lineRule="auto"/>
        <w:jc w:val="right"/>
        <w:rPr>
          <w:rFonts w:ascii="Arial" w:hAnsi="Arial" w:cs="Arial"/>
          <w:b/>
          <w:spacing w:val="5"/>
          <w:kern w:val="1"/>
          <w:lang w:val="es-MX"/>
        </w:rPr>
      </w:pPr>
    </w:p>
    <w:p w:rsidR="007F15FC" w:rsidRPr="00184B19" w:rsidRDefault="00284D47" w:rsidP="00920D52">
      <w:pPr>
        <w:spacing w:line="276" w:lineRule="auto"/>
        <w:jc w:val="right"/>
        <w:rPr>
          <w:rFonts w:ascii="Arial" w:hAnsi="Arial" w:cs="Arial"/>
          <w:spacing w:val="5"/>
          <w:kern w:val="1"/>
          <w:lang w:val="es-MX"/>
        </w:rPr>
      </w:pPr>
      <w:r w:rsidRPr="00184B19">
        <w:rPr>
          <w:rFonts w:ascii="Arial" w:hAnsi="Arial" w:cs="Arial"/>
          <w:spacing w:val="5"/>
          <w:kern w:val="1"/>
          <w:lang w:val="es-MX"/>
        </w:rPr>
        <w:t>Expediente N°</w:t>
      </w:r>
      <w:r w:rsidR="00265FC5">
        <w:rPr>
          <w:rFonts w:ascii="Arial" w:hAnsi="Arial" w:cs="Arial"/>
          <w:spacing w:val="5"/>
          <w:kern w:val="1"/>
          <w:lang w:val="es-MX"/>
        </w:rPr>
        <w:t xml:space="preserve"> 23.286</w:t>
      </w:r>
      <w:r w:rsidRPr="00184B19">
        <w:rPr>
          <w:rFonts w:ascii="Arial" w:hAnsi="Arial" w:cs="Arial"/>
          <w:spacing w:val="5"/>
          <w:kern w:val="1"/>
          <w:lang w:val="es-MX"/>
        </w:rPr>
        <w:t xml:space="preserve"> </w:t>
      </w:r>
      <w:r w:rsidR="00F42C50" w:rsidRPr="00184B19">
        <w:rPr>
          <w:rFonts w:ascii="Arial" w:hAnsi="Arial" w:cs="Arial"/>
          <w:spacing w:val="5"/>
          <w:kern w:val="1"/>
          <w:lang w:val="es-MX"/>
        </w:rPr>
        <w:t xml:space="preserve">     </w:t>
      </w:r>
    </w:p>
    <w:p w:rsidR="007F15FC" w:rsidRPr="00184B19" w:rsidRDefault="007F15FC" w:rsidP="00920D52">
      <w:pPr>
        <w:spacing w:line="276" w:lineRule="auto"/>
        <w:jc w:val="right"/>
        <w:rPr>
          <w:rFonts w:ascii="Arial" w:hAnsi="Arial" w:cs="Arial"/>
          <w:b/>
          <w:spacing w:val="5"/>
          <w:kern w:val="1"/>
          <w:lang w:val="es-MX"/>
        </w:rPr>
      </w:pPr>
    </w:p>
    <w:p w:rsidR="000A40A9" w:rsidRPr="00184B19" w:rsidRDefault="007F15FC" w:rsidP="00920D52">
      <w:pPr>
        <w:spacing w:line="276" w:lineRule="auto"/>
        <w:jc w:val="both"/>
        <w:rPr>
          <w:rFonts w:ascii="Arial" w:hAnsi="Arial" w:cs="Arial"/>
          <w:bCs/>
          <w:iCs/>
          <w:lang w:val="es-CR"/>
        </w:rPr>
      </w:pPr>
      <w:r w:rsidRPr="00184B19">
        <w:rPr>
          <w:rFonts w:ascii="Arial" w:hAnsi="Arial" w:cs="Arial"/>
          <w:spacing w:val="5"/>
          <w:kern w:val="1"/>
          <w:lang w:val="es-MX"/>
        </w:rPr>
        <w:t>ASAMBLEA LEGISLATIVA:</w:t>
      </w:r>
    </w:p>
    <w:p w:rsidR="000A40A9" w:rsidRPr="00184B19" w:rsidRDefault="000A40A9" w:rsidP="00920D52">
      <w:pPr>
        <w:spacing w:line="276" w:lineRule="auto"/>
        <w:jc w:val="both"/>
        <w:rPr>
          <w:rFonts w:ascii="Arial" w:hAnsi="Arial" w:cs="Arial"/>
          <w:bCs/>
          <w:lang w:val="es-CR"/>
        </w:rPr>
      </w:pPr>
    </w:p>
    <w:p w:rsidR="00932C8D" w:rsidRPr="00184B19" w:rsidRDefault="00932C8D" w:rsidP="00920D52">
      <w:pPr>
        <w:spacing w:line="276" w:lineRule="auto"/>
        <w:jc w:val="both"/>
        <w:rPr>
          <w:rFonts w:ascii="Arial" w:hAnsi="Arial" w:cs="Arial"/>
        </w:rPr>
      </w:pPr>
      <w:r w:rsidRPr="00184B19">
        <w:rPr>
          <w:rFonts w:ascii="Arial" w:hAnsi="Arial" w:cs="Arial"/>
        </w:rPr>
        <w:t xml:space="preserve">La educación en nuestro país es de </w:t>
      </w:r>
      <w:r w:rsidR="00184B19" w:rsidRPr="00184B19">
        <w:rPr>
          <w:rFonts w:ascii="Arial" w:hAnsi="Arial" w:cs="Arial"/>
        </w:rPr>
        <w:t>tanta</w:t>
      </w:r>
      <w:r w:rsidRPr="00184B19">
        <w:rPr>
          <w:rFonts w:ascii="Arial" w:hAnsi="Arial" w:cs="Arial"/>
        </w:rPr>
        <w:t xml:space="preserve"> importancia que </w:t>
      </w:r>
      <w:r w:rsidR="00184B19" w:rsidRPr="00184B19">
        <w:rPr>
          <w:rFonts w:ascii="Arial" w:hAnsi="Arial" w:cs="Arial"/>
        </w:rPr>
        <w:t>n</w:t>
      </w:r>
      <w:r w:rsidR="0004081D" w:rsidRPr="00184B19">
        <w:rPr>
          <w:rFonts w:ascii="Arial" w:hAnsi="Arial" w:cs="Arial"/>
        </w:rPr>
        <w:t xml:space="preserve">uestra </w:t>
      </w:r>
      <w:r w:rsidR="00184B19" w:rsidRPr="00184B19">
        <w:rPr>
          <w:rFonts w:ascii="Arial" w:hAnsi="Arial" w:cs="Arial"/>
        </w:rPr>
        <w:t>c</w:t>
      </w:r>
      <w:r w:rsidR="00135C5E" w:rsidRPr="00184B19">
        <w:rPr>
          <w:rFonts w:ascii="Arial" w:hAnsi="Arial" w:cs="Arial"/>
        </w:rPr>
        <w:t xml:space="preserve">onstitución </w:t>
      </w:r>
      <w:r w:rsidRPr="00184B19">
        <w:rPr>
          <w:rFonts w:ascii="Arial" w:hAnsi="Arial" w:cs="Arial"/>
        </w:rPr>
        <w:t xml:space="preserve">le otorgó un rango tal que el Estado debe </w:t>
      </w:r>
      <w:r w:rsidR="00135C5E" w:rsidRPr="00184B19">
        <w:rPr>
          <w:rFonts w:ascii="Arial" w:hAnsi="Arial" w:cs="Arial"/>
        </w:rPr>
        <w:t xml:space="preserve">garantizar su acceso a todos sus habitantes de manera que sea accesible y de calidad, garantía plasmada en el numeral 78 de nuestra mencionada carta </w:t>
      </w:r>
      <w:r w:rsidR="00CE1D98" w:rsidRPr="00184B19">
        <w:rPr>
          <w:rFonts w:ascii="Arial" w:hAnsi="Arial" w:cs="Arial"/>
        </w:rPr>
        <w:t>magna, que reza:</w:t>
      </w:r>
      <w:r w:rsidRPr="00184B19">
        <w:rPr>
          <w:rFonts w:ascii="Arial" w:hAnsi="Arial" w:cs="Arial"/>
        </w:rPr>
        <w:t xml:space="preserve"> </w:t>
      </w:r>
    </w:p>
    <w:p w:rsidR="001414A2" w:rsidRPr="00184B19" w:rsidRDefault="001414A2" w:rsidP="00920D52">
      <w:pPr>
        <w:spacing w:line="276" w:lineRule="auto"/>
        <w:jc w:val="both"/>
        <w:rPr>
          <w:rFonts w:ascii="Arial" w:hAnsi="Arial" w:cs="Arial"/>
        </w:rPr>
      </w:pPr>
    </w:p>
    <w:p w:rsidR="007E3A1E" w:rsidRPr="00184B19" w:rsidRDefault="00CE1D98" w:rsidP="00920D52">
      <w:pPr>
        <w:spacing w:line="276" w:lineRule="auto"/>
        <w:ind w:left="709"/>
        <w:jc w:val="both"/>
        <w:rPr>
          <w:rFonts w:ascii="Arial" w:hAnsi="Arial" w:cs="Arial"/>
          <w:i/>
        </w:rPr>
      </w:pPr>
      <w:r w:rsidRPr="00184B19">
        <w:rPr>
          <w:rFonts w:ascii="Arial" w:hAnsi="Arial" w:cs="Arial"/>
          <w:i/>
        </w:rPr>
        <w:t>“</w:t>
      </w:r>
      <w:r w:rsidRPr="00184B19">
        <w:rPr>
          <w:rFonts w:ascii="Arial" w:hAnsi="Arial" w:cs="Arial"/>
          <w:b/>
          <w:i/>
        </w:rPr>
        <w:t>ARTÍCULO 78</w:t>
      </w:r>
      <w:r w:rsidRPr="00184B19">
        <w:rPr>
          <w:rFonts w:ascii="Arial" w:hAnsi="Arial" w:cs="Arial"/>
          <w:i/>
        </w:rPr>
        <w:t xml:space="preserve">.- La educación preescolar, general básica y diversificada son obligatorias y, en el sistema público, gratuitas y costeadas por la Nación…”  </w:t>
      </w:r>
    </w:p>
    <w:p w:rsidR="007E3A1E" w:rsidRPr="00184B19" w:rsidRDefault="007E3A1E" w:rsidP="00920D52">
      <w:pPr>
        <w:spacing w:line="276" w:lineRule="auto"/>
        <w:ind w:left="709"/>
        <w:jc w:val="both"/>
        <w:rPr>
          <w:rFonts w:ascii="Arial" w:hAnsi="Arial" w:cs="Arial"/>
          <w:i/>
        </w:rPr>
      </w:pPr>
    </w:p>
    <w:p w:rsidR="007E3A1E" w:rsidRPr="00184B19" w:rsidRDefault="00933AF3" w:rsidP="00933AF3">
      <w:pPr>
        <w:spacing w:line="276" w:lineRule="auto"/>
        <w:ind w:left="142" w:right="-93"/>
        <w:jc w:val="both"/>
        <w:rPr>
          <w:rFonts w:ascii="Arial" w:hAnsi="Arial" w:cs="Arial"/>
        </w:rPr>
      </w:pPr>
      <w:r w:rsidRPr="00184B19">
        <w:rPr>
          <w:rFonts w:ascii="Arial" w:hAnsi="Arial" w:cs="Arial"/>
        </w:rPr>
        <w:t>La Ley N°</w:t>
      </w:r>
      <w:r w:rsidR="00184B19" w:rsidRPr="00184B19">
        <w:rPr>
          <w:rFonts w:ascii="Arial" w:hAnsi="Arial" w:cs="Arial"/>
        </w:rPr>
        <w:t xml:space="preserve"> </w:t>
      </w:r>
      <w:r w:rsidR="007E3A1E" w:rsidRPr="00184B19">
        <w:rPr>
          <w:rFonts w:ascii="Arial" w:hAnsi="Arial" w:cs="Arial"/>
        </w:rPr>
        <w:t xml:space="preserve">2160 </w:t>
      </w:r>
      <w:r w:rsidR="007E3A1E" w:rsidRPr="00184B19">
        <w:rPr>
          <w:rFonts w:ascii="Arial" w:hAnsi="Arial" w:cs="Arial"/>
          <w:i/>
        </w:rPr>
        <w:t xml:space="preserve">“Ley Fundamental de </w:t>
      </w:r>
      <w:r w:rsidR="00184B19" w:rsidRPr="00184B19">
        <w:rPr>
          <w:rFonts w:ascii="Arial" w:hAnsi="Arial" w:cs="Arial"/>
          <w:i/>
        </w:rPr>
        <w:t>Educación”</w:t>
      </w:r>
      <w:r w:rsidR="00184B19" w:rsidRPr="00184B19">
        <w:rPr>
          <w:rFonts w:ascii="Arial" w:hAnsi="Arial" w:cs="Arial"/>
        </w:rPr>
        <w:t xml:space="preserve"> del</w:t>
      </w:r>
      <w:r w:rsidR="007E3A1E" w:rsidRPr="00184B19">
        <w:rPr>
          <w:rFonts w:ascii="Arial" w:hAnsi="Arial" w:cs="Arial"/>
        </w:rPr>
        <w:t xml:space="preserve"> 25 de setiembre de 1957 regula el derecho que posee todo habitante de la República a la educación y la obligación que tiene el Estado de procurar ofrecerla en la forma más amplia y adecuada.</w:t>
      </w:r>
    </w:p>
    <w:p w:rsidR="00CE1D98" w:rsidRPr="00184B19" w:rsidRDefault="00CE1D98" w:rsidP="007E3A1E">
      <w:pPr>
        <w:spacing w:line="276" w:lineRule="auto"/>
        <w:ind w:left="142"/>
        <w:jc w:val="both"/>
        <w:rPr>
          <w:rFonts w:ascii="Arial" w:hAnsi="Arial" w:cs="Arial"/>
          <w:i/>
        </w:rPr>
      </w:pPr>
      <w:r w:rsidRPr="00184B19">
        <w:rPr>
          <w:rFonts w:ascii="Arial" w:hAnsi="Arial" w:cs="Arial"/>
          <w:i/>
        </w:rPr>
        <w:t xml:space="preserve">          </w:t>
      </w:r>
    </w:p>
    <w:p w:rsidR="00135C5E" w:rsidRPr="00184B19" w:rsidRDefault="007E3A1E" w:rsidP="00184B19">
      <w:pPr>
        <w:spacing w:line="276" w:lineRule="auto"/>
        <w:ind w:left="1134" w:right="1750"/>
        <w:jc w:val="both"/>
        <w:rPr>
          <w:rFonts w:ascii="Arial" w:hAnsi="Arial" w:cs="Arial"/>
          <w:i/>
          <w:color w:val="000000"/>
        </w:rPr>
      </w:pPr>
      <w:r w:rsidRPr="00184B19">
        <w:rPr>
          <w:rFonts w:ascii="Arial" w:hAnsi="Arial" w:cs="Arial"/>
          <w:i/>
        </w:rPr>
        <w:t>“</w:t>
      </w:r>
      <w:r w:rsidRPr="00184B19">
        <w:rPr>
          <w:rFonts w:ascii="Arial" w:hAnsi="Arial" w:cs="Arial"/>
          <w:b/>
          <w:bCs/>
          <w:i/>
          <w:color w:val="000000"/>
        </w:rPr>
        <w:t>Artículo 1.- </w:t>
      </w:r>
      <w:r w:rsidRPr="00184B19">
        <w:rPr>
          <w:rFonts w:ascii="Arial" w:hAnsi="Arial" w:cs="Arial"/>
          <w:i/>
          <w:color w:val="000000"/>
        </w:rPr>
        <w:t>Todo habitante de la República tiene derecho a la educación y el Estado la obligación de procurar ofrecerla en la forma más amplia y adecuada. Por lo que se deberá estimular y fomentar en los educandos el aprecio por el ejercicio de los derechos humanos y la diversidad lingüística, multiétnica y pluricultural de nuestro país.”</w:t>
      </w:r>
    </w:p>
    <w:p w:rsidR="007E3A1E" w:rsidRPr="00184B19" w:rsidRDefault="007E3A1E" w:rsidP="007E3A1E">
      <w:pPr>
        <w:spacing w:line="276" w:lineRule="auto"/>
        <w:ind w:left="1134" w:right="1750"/>
        <w:jc w:val="both"/>
        <w:rPr>
          <w:rFonts w:ascii="Arial" w:hAnsi="Arial" w:cs="Arial"/>
          <w:b/>
          <w:i/>
        </w:rPr>
      </w:pPr>
    </w:p>
    <w:p w:rsidR="007E3A1E" w:rsidRPr="00184B19" w:rsidRDefault="007E3A1E" w:rsidP="007E3A1E">
      <w:pPr>
        <w:spacing w:line="276" w:lineRule="auto"/>
        <w:ind w:right="-93"/>
        <w:jc w:val="both"/>
        <w:rPr>
          <w:rFonts w:ascii="Arial" w:hAnsi="Arial" w:cs="Arial"/>
          <w:color w:val="000000"/>
        </w:rPr>
      </w:pPr>
      <w:r w:rsidRPr="00184B19">
        <w:rPr>
          <w:rFonts w:ascii="Arial" w:hAnsi="Arial" w:cs="Arial"/>
          <w:color w:val="000000"/>
        </w:rPr>
        <w:t xml:space="preserve">El Estado para cumplir sus fines de garantizar este derecho contempla la formación </w:t>
      </w:r>
      <w:r w:rsidR="00933AF3" w:rsidRPr="00184B19">
        <w:rPr>
          <w:rFonts w:ascii="Arial" w:hAnsi="Arial" w:cs="Arial"/>
          <w:color w:val="000000"/>
        </w:rPr>
        <w:t>de sus ciudadanos</w:t>
      </w:r>
      <w:r w:rsidRPr="00184B19">
        <w:rPr>
          <w:rFonts w:ascii="Arial" w:hAnsi="Arial" w:cs="Arial"/>
          <w:color w:val="000000"/>
        </w:rPr>
        <w:t xml:space="preserve">, a partir del desarrollo de un </w:t>
      </w:r>
      <w:r w:rsidR="00933AF3" w:rsidRPr="00184B19">
        <w:rPr>
          <w:rFonts w:ascii="Arial" w:hAnsi="Arial" w:cs="Arial"/>
          <w:color w:val="000000"/>
        </w:rPr>
        <w:t>proceso integral que enlaza y</w:t>
      </w:r>
      <w:r w:rsidRPr="00184B19">
        <w:rPr>
          <w:rFonts w:ascii="Arial" w:hAnsi="Arial" w:cs="Arial"/>
          <w:color w:val="000000"/>
        </w:rPr>
        <w:t xml:space="preserve"> estructu</w:t>
      </w:r>
      <w:r w:rsidR="00933AF3" w:rsidRPr="00184B19">
        <w:rPr>
          <w:rFonts w:ascii="Arial" w:hAnsi="Arial" w:cs="Arial"/>
          <w:color w:val="000000"/>
        </w:rPr>
        <w:t>ra</w:t>
      </w:r>
      <w:r w:rsidRPr="00184B19">
        <w:rPr>
          <w:rFonts w:ascii="Arial" w:hAnsi="Arial" w:cs="Arial"/>
          <w:color w:val="000000"/>
        </w:rPr>
        <w:t xml:space="preserve"> diversos ciclos que compre</w:t>
      </w:r>
      <w:r w:rsidR="00933AF3" w:rsidRPr="00184B19">
        <w:rPr>
          <w:rFonts w:ascii="Arial" w:hAnsi="Arial" w:cs="Arial"/>
          <w:color w:val="000000"/>
        </w:rPr>
        <w:t>n</w:t>
      </w:r>
      <w:r w:rsidRPr="00184B19">
        <w:rPr>
          <w:rFonts w:ascii="Arial" w:hAnsi="Arial" w:cs="Arial"/>
          <w:color w:val="000000"/>
        </w:rPr>
        <w:t xml:space="preserve">den desde </w:t>
      </w:r>
      <w:r w:rsidR="00933AF3" w:rsidRPr="00184B19">
        <w:rPr>
          <w:rFonts w:ascii="Arial" w:hAnsi="Arial" w:cs="Arial"/>
          <w:color w:val="000000"/>
        </w:rPr>
        <w:t xml:space="preserve">la </w:t>
      </w:r>
      <w:r w:rsidR="00184B19" w:rsidRPr="00184B19">
        <w:rPr>
          <w:rFonts w:ascii="Arial" w:hAnsi="Arial" w:cs="Arial"/>
          <w:color w:val="000000"/>
        </w:rPr>
        <w:t>enseñanza preescolar</w:t>
      </w:r>
      <w:r w:rsidRPr="00184B19">
        <w:rPr>
          <w:rFonts w:ascii="Arial" w:hAnsi="Arial" w:cs="Arial"/>
          <w:color w:val="000000"/>
        </w:rPr>
        <w:t xml:space="preserve"> hasta la universitaria.</w:t>
      </w:r>
      <w:r w:rsidR="00184B19" w:rsidRPr="00184B19">
        <w:rPr>
          <w:rFonts w:ascii="Arial" w:hAnsi="Arial" w:cs="Arial"/>
          <w:color w:val="000000"/>
        </w:rPr>
        <w:t xml:space="preserve"> Por lo cual, la ley de cita describe lo siguiente:</w:t>
      </w:r>
    </w:p>
    <w:p w:rsidR="007E3A1E" w:rsidRPr="00184B19" w:rsidRDefault="007E3A1E" w:rsidP="007E3A1E">
      <w:pPr>
        <w:spacing w:line="276" w:lineRule="auto"/>
        <w:ind w:right="-93"/>
        <w:jc w:val="both"/>
        <w:rPr>
          <w:rFonts w:ascii="Arial" w:hAnsi="Arial" w:cs="Arial"/>
          <w:b/>
          <w:color w:val="000000"/>
          <w:highlight w:val="cyan"/>
        </w:rPr>
      </w:pPr>
    </w:p>
    <w:p w:rsidR="007E3A1E" w:rsidRPr="00184B19" w:rsidRDefault="007E3A1E" w:rsidP="007E3A1E">
      <w:pPr>
        <w:spacing w:line="276" w:lineRule="auto"/>
        <w:ind w:left="1134" w:right="1750"/>
        <w:jc w:val="both"/>
        <w:rPr>
          <w:rFonts w:ascii="Arial" w:hAnsi="Arial" w:cs="Arial"/>
          <w:b/>
          <w:color w:val="000000"/>
          <w:highlight w:val="cyan"/>
        </w:rPr>
      </w:pPr>
    </w:p>
    <w:p w:rsidR="007E3A1E" w:rsidRPr="00184B19" w:rsidRDefault="007E3A1E" w:rsidP="007E3A1E">
      <w:pPr>
        <w:spacing w:line="276" w:lineRule="auto"/>
        <w:ind w:left="1134" w:right="1750"/>
        <w:jc w:val="both"/>
        <w:rPr>
          <w:rFonts w:ascii="Arial" w:hAnsi="Arial" w:cs="Arial"/>
          <w:b/>
          <w:color w:val="000000"/>
          <w:highlight w:val="cyan"/>
        </w:rPr>
      </w:pPr>
    </w:p>
    <w:p w:rsidR="007E3A1E" w:rsidRPr="00184B19" w:rsidRDefault="007E3A1E" w:rsidP="007E3A1E">
      <w:pPr>
        <w:spacing w:line="276" w:lineRule="auto"/>
        <w:ind w:left="1134" w:right="1750"/>
        <w:jc w:val="both"/>
        <w:rPr>
          <w:rFonts w:ascii="Arial" w:hAnsi="Arial" w:cs="Arial"/>
          <w:b/>
          <w:color w:val="000000"/>
          <w:highlight w:val="cyan"/>
        </w:rPr>
      </w:pPr>
    </w:p>
    <w:p w:rsidR="007E3A1E" w:rsidRPr="00184B19" w:rsidRDefault="007E3A1E" w:rsidP="007E3A1E">
      <w:pPr>
        <w:spacing w:line="276" w:lineRule="auto"/>
        <w:ind w:left="1134" w:right="1750"/>
        <w:jc w:val="both"/>
        <w:rPr>
          <w:rFonts w:ascii="Arial" w:hAnsi="Arial" w:cs="Arial"/>
          <w:i/>
        </w:rPr>
      </w:pPr>
      <w:r w:rsidRPr="00184B19">
        <w:rPr>
          <w:rFonts w:ascii="Arial" w:hAnsi="Arial" w:cs="Arial"/>
          <w:i/>
          <w:color w:val="000000"/>
        </w:rPr>
        <w:lastRenderedPageBreak/>
        <w:t xml:space="preserve">“Artículo 4-La educación pública será organizada como un proceso integral correlacionado en sus diversos ciclos, desde la preescolar hasta la universitaria. El Estado, mediante el Ministerio de </w:t>
      </w:r>
      <w:r w:rsidR="00184B19" w:rsidRPr="00184B19">
        <w:rPr>
          <w:rFonts w:ascii="Arial" w:hAnsi="Arial" w:cs="Arial"/>
          <w:i/>
          <w:color w:val="000000"/>
        </w:rPr>
        <w:t>Educación Pública</w:t>
      </w:r>
      <w:r w:rsidRPr="00184B19">
        <w:rPr>
          <w:rFonts w:ascii="Arial" w:hAnsi="Arial" w:cs="Arial"/>
          <w:i/>
          <w:color w:val="000000"/>
        </w:rPr>
        <w:t xml:space="preserve"> (MEP), será corresponsable en el cuido integral del niño, la niña y el adolescente; para ello, se autoriza al MEP a colaborar en la red de cuido mediante asistencia técnica y su sostenimiento económico.”</w:t>
      </w:r>
    </w:p>
    <w:p w:rsidR="007E3A1E" w:rsidRPr="00184B19" w:rsidRDefault="007E3A1E" w:rsidP="007E3A1E">
      <w:pPr>
        <w:spacing w:line="276" w:lineRule="auto"/>
        <w:ind w:left="1134" w:right="1750"/>
        <w:jc w:val="both"/>
        <w:rPr>
          <w:rFonts w:ascii="Arial" w:hAnsi="Arial" w:cs="Arial"/>
          <w:i/>
        </w:rPr>
      </w:pPr>
    </w:p>
    <w:p w:rsidR="00E7016D" w:rsidRPr="00184B19" w:rsidRDefault="007C0004" w:rsidP="00920D52">
      <w:pPr>
        <w:spacing w:line="276" w:lineRule="auto"/>
        <w:jc w:val="both"/>
        <w:rPr>
          <w:rFonts w:ascii="Arial" w:hAnsi="Arial" w:cs="Arial"/>
        </w:rPr>
      </w:pPr>
      <w:r w:rsidRPr="00184B19">
        <w:rPr>
          <w:rFonts w:ascii="Arial" w:hAnsi="Arial" w:cs="Arial"/>
        </w:rPr>
        <w:t xml:space="preserve">El </w:t>
      </w:r>
      <w:r w:rsidR="001414A2" w:rsidRPr="00184B19">
        <w:rPr>
          <w:rFonts w:ascii="Arial" w:hAnsi="Arial" w:cs="Arial"/>
        </w:rPr>
        <w:t>papel que cumple</w:t>
      </w:r>
      <w:r w:rsidR="0091062D" w:rsidRPr="00184B19">
        <w:rPr>
          <w:rFonts w:ascii="Arial" w:hAnsi="Arial" w:cs="Arial"/>
        </w:rPr>
        <w:t xml:space="preserve"> la educación </w:t>
      </w:r>
      <w:r w:rsidR="00184B19">
        <w:rPr>
          <w:rFonts w:ascii="Arial" w:hAnsi="Arial" w:cs="Arial"/>
        </w:rPr>
        <w:t xml:space="preserve">anteriormente desarrollada de manera puntual, </w:t>
      </w:r>
      <w:r w:rsidR="008B228D" w:rsidRPr="00184B19">
        <w:rPr>
          <w:rFonts w:ascii="Arial" w:hAnsi="Arial" w:cs="Arial"/>
        </w:rPr>
        <w:t xml:space="preserve">es un servicio </w:t>
      </w:r>
      <w:r w:rsidR="00C15D52" w:rsidRPr="00184B19">
        <w:rPr>
          <w:rFonts w:ascii="Arial" w:hAnsi="Arial" w:cs="Arial"/>
        </w:rPr>
        <w:t>público,</w:t>
      </w:r>
      <w:r w:rsidR="00184B19">
        <w:rPr>
          <w:rFonts w:ascii="Arial" w:hAnsi="Arial" w:cs="Arial"/>
        </w:rPr>
        <w:t xml:space="preserve"> indiferentemente del grado o ciclo que se curse,</w:t>
      </w:r>
      <w:r w:rsidR="00C15D52" w:rsidRPr="00184B19">
        <w:rPr>
          <w:rFonts w:ascii="Arial" w:hAnsi="Arial" w:cs="Arial"/>
        </w:rPr>
        <w:t xml:space="preserve"> aunque </w:t>
      </w:r>
      <w:r w:rsidR="00184B19">
        <w:rPr>
          <w:rFonts w:ascii="Arial" w:hAnsi="Arial" w:cs="Arial"/>
        </w:rPr>
        <w:t xml:space="preserve">este servicio público </w:t>
      </w:r>
      <w:r w:rsidR="00C15D52" w:rsidRPr="00184B19">
        <w:rPr>
          <w:rFonts w:ascii="Arial" w:hAnsi="Arial" w:cs="Arial"/>
        </w:rPr>
        <w:t>sea prestado por privados</w:t>
      </w:r>
      <w:r w:rsidR="00184B19">
        <w:rPr>
          <w:rFonts w:ascii="Arial" w:hAnsi="Arial" w:cs="Arial"/>
        </w:rPr>
        <w:t>,</w:t>
      </w:r>
      <w:r w:rsidR="00C15D52" w:rsidRPr="00184B19">
        <w:rPr>
          <w:rFonts w:ascii="Arial" w:hAnsi="Arial" w:cs="Arial"/>
        </w:rPr>
        <w:t xml:space="preserve"> </w:t>
      </w:r>
      <w:r w:rsidR="00184B19">
        <w:rPr>
          <w:rFonts w:ascii="Arial" w:hAnsi="Arial" w:cs="Arial"/>
        </w:rPr>
        <w:t xml:space="preserve">por lo que </w:t>
      </w:r>
      <w:r w:rsidR="00C15D52" w:rsidRPr="00184B19">
        <w:rPr>
          <w:rFonts w:ascii="Arial" w:hAnsi="Arial" w:cs="Arial"/>
        </w:rPr>
        <w:t>también es un deber del Estado en garantizar una adecuada prestación del mismo como lo describe la Sala Constitucional en su resolución número 11399 – 2007</w:t>
      </w:r>
      <w:r w:rsidR="00C15D52" w:rsidRPr="00184B19">
        <w:rPr>
          <w:rStyle w:val="Refdenotaalpie"/>
          <w:rFonts w:ascii="Arial" w:hAnsi="Arial" w:cs="Arial"/>
        </w:rPr>
        <w:footnoteReference w:id="1"/>
      </w:r>
      <w:r w:rsidR="00C15D52" w:rsidRPr="00184B19">
        <w:rPr>
          <w:rFonts w:ascii="Arial" w:hAnsi="Arial" w:cs="Arial"/>
        </w:rPr>
        <w:t xml:space="preserve"> de las diez horas y treinta y dos minutos del diez de agosto del dos mil siete, que dice:</w:t>
      </w:r>
    </w:p>
    <w:p w:rsidR="00C15D52" w:rsidRPr="00184B19" w:rsidRDefault="00C15D52" w:rsidP="00920D52">
      <w:pPr>
        <w:spacing w:line="276" w:lineRule="auto"/>
        <w:jc w:val="both"/>
        <w:rPr>
          <w:rFonts w:ascii="Arial" w:hAnsi="Arial" w:cs="Arial"/>
        </w:rPr>
      </w:pPr>
    </w:p>
    <w:p w:rsidR="0086415D" w:rsidRPr="00184B19" w:rsidRDefault="00C15D52" w:rsidP="00920D52">
      <w:pPr>
        <w:spacing w:line="276" w:lineRule="auto"/>
        <w:ind w:left="709"/>
        <w:jc w:val="both"/>
        <w:rPr>
          <w:rFonts w:ascii="Arial" w:hAnsi="Arial" w:cs="Arial"/>
          <w:i/>
          <w:color w:val="000000"/>
          <w:shd w:val="clear" w:color="auto" w:fill="FFFFFF"/>
        </w:rPr>
      </w:pPr>
      <w:r w:rsidRPr="00184B19">
        <w:rPr>
          <w:rFonts w:ascii="Arial" w:hAnsi="Arial" w:cs="Arial"/>
          <w:i/>
          <w:color w:val="000000"/>
          <w:shd w:val="clear" w:color="auto" w:fill="FFFFFF"/>
        </w:rPr>
        <w:t>“</w:t>
      </w:r>
      <w:r w:rsidR="00E7016D" w:rsidRPr="00184B19">
        <w:rPr>
          <w:rFonts w:ascii="Arial" w:hAnsi="Arial" w:cs="Arial"/>
          <w:i/>
          <w:color w:val="000000"/>
          <w:shd w:val="clear" w:color="auto" w:fill="FFFFFF"/>
        </w:rPr>
        <w:t xml:space="preserve">EDUCACIÓN COMO SERVICIO PÚBLICO. “(…) V.- EDUCACIÓN COMO UN SERVICIO PÚBLICO. La educación no solo se puede concebir como un derecho de los ciudadanos, sino también como un servicio público, esto es, como una prestación positiva que brindan a los habitantes de la república las administraciones públicas </w:t>
      </w:r>
      <w:r w:rsidR="00E7016D" w:rsidRPr="00184B19">
        <w:rPr>
          <w:rFonts w:ascii="Arial" w:hAnsi="Arial" w:cs="Arial"/>
          <w:b/>
          <w:i/>
          <w:color w:val="000000"/>
          <w:shd w:val="clear" w:color="auto" w:fill="FFFFFF"/>
        </w:rPr>
        <w:t xml:space="preserve">–el Estado a través del Ministerio de Educación Pública y la Universidades Públicas- con lo cual es un servicio público propio o los particulares a través de organizaciones colectivas del derecho privado –v. gr. fundaciones, asociaciones o sociedades- en el caso de las escuelas, colegios y universidades privadas, siendo en este caso un servicio público impropio. En este último supuesto hablamos de un servicio público impropio toda vez que los particulares –personas físicas o jurídicas- lo hacen sometidos a un intenso y prolijo régimen de derecho público en cuanto a la creación, funcionamiento y fiscalización de esos centros privados. Los servicios públicos, en cuanto brindan prestaciones efectivas vitales para la vida en sociedad deben sujetarse a una serie de principios tales como los de continuidad, regularidad, eficiencia, eficacia, igualdad y universalidad, los cuales, </w:t>
      </w:r>
      <w:proofErr w:type="spellStart"/>
      <w:r w:rsidR="00E7016D" w:rsidRPr="00184B19">
        <w:rPr>
          <w:rFonts w:ascii="Arial" w:hAnsi="Arial" w:cs="Arial"/>
          <w:b/>
          <w:i/>
          <w:color w:val="000000"/>
          <w:shd w:val="clear" w:color="auto" w:fill="FFFFFF"/>
        </w:rPr>
        <w:t>entratándose</w:t>
      </w:r>
      <w:proofErr w:type="spellEnd"/>
      <w:r w:rsidR="00E7016D" w:rsidRPr="00184B19">
        <w:rPr>
          <w:rFonts w:ascii="Arial" w:hAnsi="Arial" w:cs="Arial"/>
          <w:b/>
          <w:i/>
          <w:color w:val="000000"/>
          <w:shd w:val="clear" w:color="auto" w:fill="FFFFFF"/>
        </w:rPr>
        <w:t xml:space="preserve"> de los servicios públicos impropios se ven atenuados o matizados, sobre todo en cuanto el usuario opta por utilizarlos</w:t>
      </w:r>
      <w:r w:rsidRPr="00184B19">
        <w:rPr>
          <w:rFonts w:ascii="Arial" w:hAnsi="Arial" w:cs="Arial"/>
          <w:i/>
          <w:color w:val="000000"/>
          <w:shd w:val="clear" w:color="auto" w:fill="FFFFFF"/>
        </w:rPr>
        <w:t>…”</w:t>
      </w:r>
    </w:p>
    <w:p w:rsidR="00C15D52" w:rsidRPr="00184B19" w:rsidRDefault="00C15D52" w:rsidP="00920D52">
      <w:pPr>
        <w:spacing w:line="276" w:lineRule="auto"/>
        <w:ind w:left="709"/>
        <w:jc w:val="both"/>
        <w:rPr>
          <w:rFonts w:ascii="Arial" w:hAnsi="Arial" w:cs="Arial"/>
          <w:bCs/>
          <w:i/>
          <w:lang w:eastAsia="es-CR"/>
        </w:rPr>
      </w:pPr>
    </w:p>
    <w:p w:rsidR="00C15D52" w:rsidRPr="00184B19" w:rsidRDefault="00C15D52" w:rsidP="00920D52">
      <w:pPr>
        <w:spacing w:line="276" w:lineRule="auto"/>
        <w:ind w:left="709"/>
        <w:jc w:val="both"/>
        <w:rPr>
          <w:rFonts w:ascii="Arial" w:hAnsi="Arial" w:cs="Arial"/>
          <w:bCs/>
          <w:lang w:eastAsia="es-CR"/>
        </w:rPr>
      </w:pPr>
      <w:r w:rsidRPr="00184B19">
        <w:rPr>
          <w:rFonts w:ascii="Arial" w:hAnsi="Arial" w:cs="Arial"/>
          <w:bCs/>
          <w:lang w:eastAsia="es-CR"/>
        </w:rPr>
        <w:t>(Destacado es propio).</w:t>
      </w:r>
    </w:p>
    <w:p w:rsidR="00342877" w:rsidRPr="00184B19" w:rsidRDefault="00342877" w:rsidP="00920D52">
      <w:pPr>
        <w:spacing w:line="276" w:lineRule="auto"/>
        <w:jc w:val="both"/>
        <w:rPr>
          <w:rFonts w:ascii="Arial" w:hAnsi="Arial" w:cs="Arial"/>
          <w:bCs/>
          <w:lang w:eastAsia="es-CR"/>
        </w:rPr>
      </w:pPr>
    </w:p>
    <w:p w:rsidR="004F5939" w:rsidRPr="00184B19" w:rsidRDefault="00EA3160" w:rsidP="00920D52">
      <w:pPr>
        <w:spacing w:line="276" w:lineRule="auto"/>
        <w:jc w:val="both"/>
        <w:rPr>
          <w:rFonts w:ascii="Arial" w:hAnsi="Arial" w:cs="Arial"/>
          <w:bCs/>
          <w:lang w:eastAsia="es-CR"/>
        </w:rPr>
      </w:pPr>
      <w:r w:rsidRPr="00184B19">
        <w:rPr>
          <w:rFonts w:ascii="Arial" w:hAnsi="Arial" w:cs="Arial"/>
          <w:bCs/>
          <w:lang w:eastAsia="es-CR"/>
        </w:rPr>
        <w:lastRenderedPageBreak/>
        <w:t xml:space="preserve">En razón de lo anterior, </w:t>
      </w:r>
      <w:r w:rsidR="007B70BB" w:rsidRPr="00184B19">
        <w:rPr>
          <w:rFonts w:ascii="Arial" w:hAnsi="Arial" w:cs="Arial"/>
          <w:bCs/>
          <w:lang w:eastAsia="es-CR"/>
        </w:rPr>
        <w:t xml:space="preserve">podemos </w:t>
      </w:r>
      <w:r w:rsidR="008267AC">
        <w:rPr>
          <w:rFonts w:ascii="Arial" w:hAnsi="Arial" w:cs="Arial"/>
          <w:bCs/>
          <w:lang w:eastAsia="es-CR"/>
        </w:rPr>
        <w:t>establecer</w:t>
      </w:r>
      <w:r w:rsidR="007B70BB" w:rsidRPr="00184B19">
        <w:rPr>
          <w:rFonts w:ascii="Arial" w:hAnsi="Arial" w:cs="Arial"/>
          <w:bCs/>
          <w:lang w:eastAsia="es-CR"/>
        </w:rPr>
        <w:t xml:space="preserve"> </w:t>
      </w:r>
      <w:r w:rsidR="004F5939" w:rsidRPr="00184B19">
        <w:rPr>
          <w:rFonts w:ascii="Arial" w:hAnsi="Arial" w:cs="Arial"/>
          <w:bCs/>
          <w:lang w:eastAsia="es-CR"/>
        </w:rPr>
        <w:t xml:space="preserve">claramente la responsabilidad del Estado en garantizar la educación como servicio público </w:t>
      </w:r>
      <w:r w:rsidR="008267AC">
        <w:rPr>
          <w:rFonts w:ascii="Arial" w:hAnsi="Arial" w:cs="Arial"/>
          <w:bCs/>
          <w:lang w:eastAsia="es-CR"/>
        </w:rPr>
        <w:t>y por lo tanto</w:t>
      </w:r>
      <w:r w:rsidR="004F5939" w:rsidRPr="00184B19">
        <w:rPr>
          <w:rFonts w:ascii="Arial" w:hAnsi="Arial" w:cs="Arial"/>
          <w:bCs/>
          <w:lang w:eastAsia="es-CR"/>
        </w:rPr>
        <w:t xml:space="preserve"> debe cumplir con la garantía de un servicio público como tal en la figura de prestador impropio.</w:t>
      </w:r>
    </w:p>
    <w:p w:rsidR="004F5939" w:rsidRPr="00184B19" w:rsidRDefault="004F5939" w:rsidP="00920D52">
      <w:pPr>
        <w:spacing w:line="276" w:lineRule="auto"/>
        <w:jc w:val="both"/>
        <w:rPr>
          <w:rFonts w:ascii="Arial" w:hAnsi="Arial" w:cs="Arial"/>
          <w:bCs/>
          <w:lang w:eastAsia="es-CR"/>
        </w:rPr>
      </w:pPr>
    </w:p>
    <w:p w:rsidR="00AC39A1" w:rsidRDefault="00460BFF" w:rsidP="00460BFF">
      <w:pPr>
        <w:spacing w:line="276" w:lineRule="auto"/>
        <w:jc w:val="both"/>
        <w:rPr>
          <w:rFonts w:ascii="Arial" w:hAnsi="Arial" w:cs="Arial"/>
          <w:bCs/>
          <w:lang w:eastAsia="es-CR"/>
        </w:rPr>
      </w:pPr>
      <w:r w:rsidRPr="00460BFF">
        <w:rPr>
          <w:rFonts w:ascii="Arial" w:hAnsi="Arial" w:cs="Arial"/>
          <w:bCs/>
          <w:lang w:eastAsia="es-CR"/>
        </w:rPr>
        <w:t>En este sentido se concreta la libertad de elección de las personas usuarias de seleccionar la opción de su preferencia en cuanto al centro de estudio que imparta los progr</w:t>
      </w:r>
      <w:r w:rsidR="00F66012">
        <w:rPr>
          <w:rFonts w:ascii="Arial" w:hAnsi="Arial" w:cs="Arial"/>
          <w:bCs/>
          <w:lang w:eastAsia="es-CR"/>
        </w:rPr>
        <w:t xml:space="preserve">amas y recursos de la enseñanza, lo que ha dado lugar a </w:t>
      </w:r>
      <w:r w:rsidR="003E6549">
        <w:rPr>
          <w:rFonts w:ascii="Arial" w:hAnsi="Arial" w:cs="Arial"/>
          <w:bCs/>
          <w:lang w:eastAsia="es-CR"/>
        </w:rPr>
        <w:t>una participación de la educación privada que ronda el 14% a nivel preescolar, del 8% en educación primaria y del 7.75% en III ciclo y educación diversificada, de toda la matrícula educativa del país entre 2010 y 2020</w:t>
      </w:r>
      <w:r w:rsidR="00486CBF">
        <w:rPr>
          <w:rFonts w:ascii="Arial" w:hAnsi="Arial" w:cs="Arial"/>
          <w:bCs/>
          <w:lang w:eastAsia="es-CR"/>
        </w:rPr>
        <w:t xml:space="preserve"> </w:t>
      </w:r>
      <w:r w:rsidR="005018B2">
        <w:rPr>
          <w:rFonts w:ascii="Arial" w:hAnsi="Arial" w:cs="Arial"/>
          <w:bCs/>
          <w:lang w:eastAsia="es-CR"/>
        </w:rPr>
        <w:t>(Brenes Vindas, 2021:61)</w:t>
      </w:r>
      <w:r w:rsidR="005018B2">
        <w:rPr>
          <w:rStyle w:val="Refdenotaalpie"/>
          <w:rFonts w:ascii="Arial" w:hAnsi="Arial" w:cs="Arial"/>
          <w:bCs/>
          <w:lang w:eastAsia="es-CR"/>
        </w:rPr>
        <w:footnoteReference w:id="2"/>
      </w:r>
      <w:r w:rsidR="003E6549">
        <w:rPr>
          <w:rFonts w:ascii="Arial" w:hAnsi="Arial" w:cs="Arial"/>
          <w:bCs/>
          <w:lang w:eastAsia="es-CR"/>
        </w:rPr>
        <w:t>.</w:t>
      </w:r>
    </w:p>
    <w:p w:rsidR="003E6549" w:rsidRDefault="003E6549" w:rsidP="00460BFF">
      <w:pPr>
        <w:spacing w:line="276" w:lineRule="auto"/>
        <w:jc w:val="both"/>
        <w:rPr>
          <w:rFonts w:ascii="Arial" w:hAnsi="Arial" w:cs="Arial"/>
          <w:bCs/>
          <w:lang w:eastAsia="es-CR"/>
        </w:rPr>
      </w:pPr>
    </w:p>
    <w:p w:rsidR="006016EF" w:rsidRDefault="001E2C66" w:rsidP="00920D52">
      <w:pPr>
        <w:spacing w:line="276" w:lineRule="auto"/>
        <w:jc w:val="both"/>
        <w:rPr>
          <w:rFonts w:ascii="Arial" w:hAnsi="Arial" w:cs="Arial"/>
          <w:bCs/>
          <w:lang w:eastAsia="es-CR"/>
        </w:rPr>
      </w:pPr>
      <w:r w:rsidRPr="00184B19">
        <w:rPr>
          <w:rFonts w:ascii="Arial" w:hAnsi="Arial" w:cs="Arial"/>
          <w:bCs/>
          <w:lang w:eastAsia="es-CR"/>
        </w:rPr>
        <w:t xml:space="preserve">Ahora bien, pese a que debería guardarse la igualdad correspondiente entre la educación pública y privada, la Ley número 9635 del 03 de diciembre del 2018, Ley de Fortalecimiento de las Finanzas Públicas, se estableció en su </w:t>
      </w:r>
      <w:proofErr w:type="spellStart"/>
      <w:r w:rsidRPr="00184B19">
        <w:rPr>
          <w:rFonts w:ascii="Arial" w:hAnsi="Arial" w:cs="Arial"/>
          <w:bCs/>
          <w:lang w:eastAsia="es-CR"/>
        </w:rPr>
        <w:t>subinciso</w:t>
      </w:r>
      <w:proofErr w:type="spellEnd"/>
      <w:r w:rsidRPr="00184B19">
        <w:rPr>
          <w:rFonts w:ascii="Arial" w:hAnsi="Arial" w:cs="Arial"/>
          <w:bCs/>
          <w:lang w:eastAsia="es-CR"/>
        </w:rPr>
        <w:t xml:space="preserve"> </w:t>
      </w:r>
      <w:r w:rsidR="00A15139" w:rsidRPr="00184B19">
        <w:rPr>
          <w:rFonts w:ascii="Arial" w:hAnsi="Arial" w:cs="Arial"/>
          <w:bCs/>
          <w:lang w:eastAsia="es-CR"/>
        </w:rPr>
        <w:t>b), del inciso 2) del artículo 11, estableció un 2% de Impuesto de Valor Agregado a los servicios de educación privada de nuestro país, situación que encarece el servicio público impropio de educación a sus usuarios</w:t>
      </w:r>
      <w:r w:rsidR="00184B19">
        <w:rPr>
          <w:rFonts w:ascii="Arial" w:hAnsi="Arial" w:cs="Arial"/>
          <w:bCs/>
          <w:lang w:eastAsia="es-CR"/>
        </w:rPr>
        <w:t xml:space="preserve"> como se muestra en dicha ley:</w:t>
      </w:r>
    </w:p>
    <w:p w:rsidR="00184B19" w:rsidRPr="00184B19" w:rsidRDefault="00184B19" w:rsidP="00184B19">
      <w:pPr>
        <w:spacing w:line="276" w:lineRule="auto"/>
        <w:jc w:val="both"/>
        <w:rPr>
          <w:rFonts w:ascii="Arial" w:hAnsi="Arial" w:cs="Arial"/>
          <w:bCs/>
          <w:lang w:eastAsia="es-CR"/>
        </w:rPr>
      </w:pPr>
    </w:p>
    <w:p w:rsidR="00184B19" w:rsidRPr="00184B19" w:rsidRDefault="00184B19" w:rsidP="00184B19">
      <w:pPr>
        <w:spacing w:line="276" w:lineRule="auto"/>
        <w:ind w:left="705"/>
        <w:jc w:val="both"/>
        <w:rPr>
          <w:rFonts w:ascii="Arial" w:hAnsi="Arial" w:cs="Arial"/>
          <w:b/>
          <w:i/>
          <w:lang w:val="es-CR" w:eastAsia="es-CR"/>
        </w:rPr>
      </w:pPr>
      <w:r>
        <w:rPr>
          <w:rFonts w:ascii="Arial" w:hAnsi="Arial" w:cs="Arial"/>
          <w:bCs/>
          <w:lang w:eastAsia="es-CR"/>
        </w:rPr>
        <w:t>“</w:t>
      </w:r>
      <w:r w:rsidRPr="00184B19">
        <w:rPr>
          <w:rFonts w:ascii="Arial" w:hAnsi="Arial" w:cs="Arial"/>
          <w:b/>
          <w:i/>
          <w:lang w:val="es-CR" w:eastAsia="es-CR"/>
        </w:rPr>
        <w:t>Artículo 11- Tarifa reducida. Se establecen las siguientes tarifas reducidas:</w:t>
      </w:r>
    </w:p>
    <w:p w:rsidR="00184B19" w:rsidRPr="00184B19" w:rsidRDefault="00184B19" w:rsidP="00184B19">
      <w:pPr>
        <w:suppressAutoHyphens w:val="0"/>
        <w:spacing w:line="276" w:lineRule="auto"/>
        <w:jc w:val="both"/>
        <w:rPr>
          <w:rFonts w:ascii="Arial" w:hAnsi="Arial" w:cs="Arial"/>
          <w:i/>
          <w:lang w:val="es-CR" w:eastAsia="es-CR"/>
        </w:rPr>
      </w:pPr>
    </w:p>
    <w:p w:rsidR="00184B19" w:rsidRDefault="00184B19" w:rsidP="00184B19">
      <w:pPr>
        <w:suppressAutoHyphens w:val="0"/>
        <w:spacing w:line="276" w:lineRule="auto"/>
        <w:jc w:val="both"/>
        <w:rPr>
          <w:rFonts w:ascii="Arial" w:hAnsi="Arial" w:cs="Arial"/>
          <w:lang w:val="es-CR" w:eastAsia="es-CR"/>
        </w:rPr>
      </w:pPr>
      <w:r>
        <w:rPr>
          <w:rFonts w:ascii="Arial" w:hAnsi="Arial" w:cs="Arial"/>
          <w:i/>
          <w:lang w:val="es-CR" w:eastAsia="es-CR"/>
        </w:rPr>
        <w:tab/>
      </w:r>
      <w:r>
        <w:rPr>
          <w:rFonts w:ascii="Arial" w:hAnsi="Arial" w:cs="Arial"/>
          <w:lang w:val="es-CR" w:eastAsia="es-CR"/>
        </w:rPr>
        <w:t>(…)</w:t>
      </w:r>
    </w:p>
    <w:p w:rsidR="00184B19" w:rsidRPr="00184B19" w:rsidRDefault="00184B19" w:rsidP="00184B19">
      <w:pPr>
        <w:suppressAutoHyphens w:val="0"/>
        <w:spacing w:line="276" w:lineRule="auto"/>
        <w:jc w:val="both"/>
        <w:rPr>
          <w:rFonts w:ascii="Arial" w:hAnsi="Arial" w:cs="Arial"/>
          <w:lang w:val="es-CR" w:eastAsia="es-CR"/>
        </w:rPr>
      </w:pPr>
    </w:p>
    <w:p w:rsidR="00184B19" w:rsidRPr="00184B19" w:rsidRDefault="00184B19" w:rsidP="00184B19">
      <w:pPr>
        <w:suppressAutoHyphens w:val="0"/>
        <w:spacing w:line="276" w:lineRule="auto"/>
        <w:ind w:left="708"/>
        <w:jc w:val="both"/>
        <w:rPr>
          <w:rFonts w:ascii="Arial" w:hAnsi="Arial" w:cs="Arial"/>
          <w:i/>
          <w:lang w:val="es-CR" w:eastAsia="es-CR"/>
        </w:rPr>
      </w:pPr>
      <w:r w:rsidRPr="00184B19">
        <w:rPr>
          <w:rFonts w:ascii="Arial" w:hAnsi="Arial" w:cs="Arial"/>
          <w:i/>
          <w:lang w:val="es-CR" w:eastAsia="es-CR"/>
        </w:rPr>
        <w:t>2. Del dos por ciento (2%) para los siguientes bienes o servicios:</w:t>
      </w:r>
    </w:p>
    <w:p w:rsidR="00184B19" w:rsidRPr="00184B19" w:rsidRDefault="00184B19" w:rsidP="00184B19">
      <w:pPr>
        <w:suppressAutoHyphens w:val="0"/>
        <w:spacing w:line="276" w:lineRule="auto"/>
        <w:jc w:val="both"/>
        <w:rPr>
          <w:rFonts w:ascii="Arial" w:hAnsi="Arial" w:cs="Arial"/>
          <w:i/>
          <w:lang w:val="es-CR" w:eastAsia="es-CR"/>
        </w:rPr>
      </w:pPr>
    </w:p>
    <w:p w:rsidR="00184B19" w:rsidRPr="00184B19" w:rsidRDefault="00184B19" w:rsidP="00184B19">
      <w:pPr>
        <w:suppressAutoHyphens w:val="0"/>
        <w:spacing w:line="276" w:lineRule="auto"/>
        <w:ind w:left="1416"/>
        <w:jc w:val="both"/>
        <w:rPr>
          <w:rFonts w:ascii="Arial" w:hAnsi="Arial" w:cs="Arial"/>
          <w:i/>
          <w:lang w:val="es-CR" w:eastAsia="es-CR"/>
        </w:rPr>
      </w:pPr>
      <w:r w:rsidRPr="00184B19">
        <w:rPr>
          <w:rFonts w:ascii="Arial" w:hAnsi="Arial" w:cs="Arial"/>
          <w:i/>
          <w:lang w:val="es-CR" w:eastAsia="es-CR"/>
        </w:rPr>
        <w:t>a. Los medicamentos, las materias primas, los insumos, la maquinaria, el equipo y los reactivos necesarios para su producción, autorizados por el Ministerio de Hacienda.</w:t>
      </w:r>
    </w:p>
    <w:p w:rsidR="00184B19" w:rsidRPr="00184B19" w:rsidRDefault="00184B19" w:rsidP="00184B19">
      <w:pPr>
        <w:suppressAutoHyphens w:val="0"/>
        <w:spacing w:line="276" w:lineRule="auto"/>
        <w:jc w:val="both"/>
        <w:rPr>
          <w:rFonts w:ascii="Arial" w:hAnsi="Arial" w:cs="Arial"/>
          <w:i/>
          <w:lang w:val="es-CR" w:eastAsia="es-CR"/>
        </w:rPr>
      </w:pPr>
    </w:p>
    <w:p w:rsidR="00A15139" w:rsidRDefault="00184B19" w:rsidP="00184B19">
      <w:pPr>
        <w:suppressAutoHyphens w:val="0"/>
        <w:spacing w:line="276" w:lineRule="auto"/>
        <w:ind w:left="1416"/>
        <w:jc w:val="both"/>
        <w:rPr>
          <w:rFonts w:ascii="Arial" w:hAnsi="Arial" w:cs="Arial"/>
          <w:i/>
          <w:lang w:val="es-CR" w:eastAsia="es-CR"/>
        </w:rPr>
      </w:pPr>
      <w:r w:rsidRPr="00184B19">
        <w:rPr>
          <w:rFonts w:ascii="Arial" w:hAnsi="Arial" w:cs="Arial"/>
          <w:b/>
          <w:i/>
          <w:lang w:val="es-CR" w:eastAsia="es-CR"/>
        </w:rPr>
        <w:t>b. Los servicios de educación privada</w:t>
      </w:r>
      <w:r>
        <w:rPr>
          <w:rFonts w:ascii="Arial" w:hAnsi="Arial" w:cs="Arial"/>
          <w:i/>
          <w:lang w:val="es-CR" w:eastAsia="es-CR"/>
        </w:rPr>
        <w:t>…”</w:t>
      </w:r>
    </w:p>
    <w:p w:rsidR="00184B19" w:rsidRPr="00184B19" w:rsidRDefault="00184B19" w:rsidP="00184B19">
      <w:pPr>
        <w:suppressAutoHyphens w:val="0"/>
        <w:spacing w:line="276" w:lineRule="auto"/>
        <w:ind w:left="1416"/>
        <w:jc w:val="both"/>
        <w:rPr>
          <w:rFonts w:ascii="Arial" w:hAnsi="Arial" w:cs="Arial"/>
          <w:i/>
          <w:lang w:val="es-CR" w:eastAsia="es-CR"/>
        </w:rPr>
      </w:pPr>
    </w:p>
    <w:p w:rsidR="00A15139" w:rsidRDefault="00A15139" w:rsidP="00920D52">
      <w:pPr>
        <w:spacing w:line="276" w:lineRule="auto"/>
        <w:jc w:val="both"/>
        <w:rPr>
          <w:rFonts w:ascii="Arial" w:hAnsi="Arial" w:cs="Arial"/>
          <w:bCs/>
          <w:lang w:eastAsia="es-CR"/>
        </w:rPr>
      </w:pPr>
      <w:r w:rsidRPr="00184B19">
        <w:rPr>
          <w:rFonts w:ascii="Arial" w:hAnsi="Arial" w:cs="Arial"/>
          <w:bCs/>
          <w:lang w:eastAsia="es-CR"/>
        </w:rPr>
        <w:t xml:space="preserve">Dicho monto porcentual que se ve reflejado en el monto que debe pagar el usuario de dicho servicio público se incrementará con la situación actual del país, ya que históricamente el </w:t>
      </w:r>
      <w:r w:rsidR="008F46A0" w:rsidRPr="00184B19">
        <w:rPr>
          <w:rFonts w:ascii="Arial" w:hAnsi="Arial" w:cs="Arial"/>
          <w:bCs/>
          <w:lang w:eastAsia="es-CR"/>
        </w:rPr>
        <w:t>costo de dicho servicio aumenta por encima</w:t>
      </w:r>
      <w:r w:rsidR="008F46A0" w:rsidRPr="00184B19">
        <w:rPr>
          <w:rStyle w:val="Refdenotaalpie"/>
          <w:rFonts w:ascii="Arial" w:hAnsi="Arial" w:cs="Arial"/>
          <w:bCs/>
          <w:lang w:eastAsia="es-CR"/>
        </w:rPr>
        <w:footnoteReference w:id="3"/>
      </w:r>
      <w:r w:rsidR="008F46A0" w:rsidRPr="00184B19">
        <w:rPr>
          <w:rFonts w:ascii="Arial" w:hAnsi="Arial" w:cs="Arial"/>
          <w:bCs/>
          <w:lang w:eastAsia="es-CR"/>
        </w:rPr>
        <w:t xml:space="preserve"> de la inflación y dicho aumento será desproporcional con la situación actual de nuestro país en inflación</w:t>
      </w:r>
      <w:r w:rsidR="005E271E">
        <w:rPr>
          <w:rFonts w:ascii="Arial" w:hAnsi="Arial" w:cs="Arial"/>
          <w:bCs/>
          <w:lang w:eastAsia="es-CR"/>
        </w:rPr>
        <w:t xml:space="preserve"> </w:t>
      </w:r>
      <w:r w:rsidR="005E271E">
        <w:rPr>
          <w:rFonts w:ascii="Arial" w:hAnsi="Arial" w:cs="Arial"/>
          <w:bCs/>
          <w:lang w:eastAsia="es-CR"/>
        </w:rPr>
        <w:lastRenderedPageBreak/>
        <w:t>interanual</w:t>
      </w:r>
      <w:r w:rsidR="008F46A0" w:rsidRPr="00184B19">
        <w:rPr>
          <w:rFonts w:ascii="Arial" w:hAnsi="Arial" w:cs="Arial"/>
          <w:bCs/>
          <w:lang w:eastAsia="es-CR"/>
        </w:rPr>
        <w:t xml:space="preserve"> de un 11,48%</w:t>
      </w:r>
      <w:r w:rsidR="008F46A0" w:rsidRPr="00184B19">
        <w:rPr>
          <w:rStyle w:val="Refdenotaalpie"/>
          <w:rFonts w:ascii="Arial" w:hAnsi="Arial" w:cs="Arial"/>
          <w:bCs/>
          <w:lang w:eastAsia="es-CR"/>
        </w:rPr>
        <w:footnoteReference w:id="4"/>
      </w:r>
      <w:r w:rsidR="008F46A0" w:rsidRPr="00184B19">
        <w:rPr>
          <w:rFonts w:ascii="Arial" w:hAnsi="Arial" w:cs="Arial"/>
          <w:bCs/>
          <w:lang w:eastAsia="es-CR"/>
        </w:rPr>
        <w:t xml:space="preserve">  a julio del presente año, por lo que debemos como legisladores iniciar con medidas urgentes para aliviar los aumentos que se avecinan en los usuarios de este sector. </w:t>
      </w:r>
    </w:p>
    <w:p w:rsidR="008267AC" w:rsidRDefault="008267AC" w:rsidP="00920D52">
      <w:pPr>
        <w:spacing w:line="276" w:lineRule="auto"/>
        <w:jc w:val="both"/>
        <w:rPr>
          <w:rFonts w:ascii="Arial" w:hAnsi="Arial" w:cs="Arial"/>
          <w:bCs/>
          <w:lang w:eastAsia="es-CR"/>
        </w:rPr>
      </w:pPr>
    </w:p>
    <w:p w:rsidR="005E271E" w:rsidRDefault="005E271E" w:rsidP="005E271E">
      <w:pPr>
        <w:spacing w:line="276" w:lineRule="auto"/>
        <w:jc w:val="both"/>
        <w:rPr>
          <w:rFonts w:ascii="Arial" w:hAnsi="Arial" w:cs="Arial"/>
          <w:bCs/>
          <w:lang w:val="es-CR" w:eastAsia="es-CR"/>
        </w:rPr>
      </w:pPr>
      <w:r>
        <w:rPr>
          <w:rFonts w:ascii="Arial" w:hAnsi="Arial" w:cs="Arial"/>
          <w:bCs/>
          <w:lang w:eastAsia="es-CR"/>
        </w:rPr>
        <w:t xml:space="preserve">Más aún, </w:t>
      </w:r>
      <w:r>
        <w:rPr>
          <w:rFonts w:ascii="Arial" w:hAnsi="Arial" w:cs="Arial"/>
          <w:bCs/>
          <w:lang w:val="es-CR" w:eastAsia="es-CR"/>
        </w:rPr>
        <w:t>s</w:t>
      </w:r>
      <w:r w:rsidRPr="005E271E">
        <w:rPr>
          <w:rFonts w:ascii="Arial" w:hAnsi="Arial" w:cs="Arial"/>
          <w:bCs/>
          <w:lang w:val="es-CR" w:eastAsia="es-CR"/>
        </w:rPr>
        <w:t xml:space="preserve">egún los más recientes pronósticos del Banco Central de Costa Rica, al 29 de julio del 2022, la inflación no volverá hasta la meta de política monetaria, alrededor del 3% hasta iniciado el 2024, ya que como destaca esa misma institución: “el horizonte de pronóstico es mayor a la prevista en el IPM de abril con, un balance de riesgos hacia el </w:t>
      </w:r>
      <w:r w:rsidR="00C1131B" w:rsidRPr="005E271E">
        <w:rPr>
          <w:rFonts w:ascii="Arial" w:hAnsi="Arial" w:cs="Arial"/>
          <w:bCs/>
          <w:lang w:val="es-CR" w:eastAsia="es-CR"/>
        </w:rPr>
        <w:t>alza” (</w:t>
      </w:r>
      <w:r w:rsidRPr="005E271E">
        <w:rPr>
          <w:rFonts w:ascii="Arial" w:hAnsi="Arial" w:cs="Arial"/>
          <w:bCs/>
          <w:lang w:val="es-CR" w:eastAsia="es-CR"/>
        </w:rPr>
        <w:t>BCCR. 2022; 2-3)</w:t>
      </w:r>
      <w:r w:rsidRPr="005E271E">
        <w:rPr>
          <w:rFonts w:ascii="Arial" w:hAnsi="Arial" w:cs="Arial"/>
          <w:bCs/>
          <w:vertAlign w:val="superscript"/>
          <w:lang w:val="es-CR" w:eastAsia="es-CR"/>
        </w:rPr>
        <w:footnoteReference w:id="5"/>
      </w:r>
      <w:r w:rsidRPr="005E271E">
        <w:rPr>
          <w:rFonts w:ascii="Arial" w:hAnsi="Arial" w:cs="Arial"/>
          <w:bCs/>
          <w:lang w:val="es-CR" w:eastAsia="es-CR"/>
        </w:rPr>
        <w:t>, lo que podría ocasionar que incluso este pronóstico sea optimista, y el proceso inflacionario en el que nos encontramos se prolongue más que esta previsión.</w:t>
      </w:r>
    </w:p>
    <w:p w:rsidR="008267AC" w:rsidRPr="005E271E" w:rsidRDefault="008267AC" w:rsidP="005E271E">
      <w:pPr>
        <w:spacing w:line="276" w:lineRule="auto"/>
        <w:jc w:val="both"/>
        <w:rPr>
          <w:rFonts w:ascii="Arial" w:hAnsi="Arial" w:cs="Arial"/>
          <w:bCs/>
          <w:lang w:val="es-CR" w:eastAsia="es-CR"/>
        </w:rPr>
      </w:pP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El principal riesgo asociado que destaca el BCCR está relacionado con la economía externa, ya que dicha demanda se relaciona con los sectores productivos más dinámicos del país, pero al mismo tiempo es un factor que introduce riesgo cambiario, el cual es a su vez es un mecanismos de traspaso de la inflación y que puede asociarse con la persistencia inflacionaria, es decir, con tasas de inflación superiores al rango meta de la autoridad monetaria en mercados emergentes y economías en desarrollo con regímenes cambiarios poco flexibles y sin un</w:t>
      </w:r>
      <w:r w:rsidR="008267AC">
        <w:rPr>
          <w:rFonts w:ascii="Arial" w:hAnsi="Arial" w:cs="Arial"/>
          <w:bCs/>
          <w:lang w:val="es-CR" w:eastAsia="es-CR"/>
        </w:rPr>
        <w:t xml:space="preserve"> </w:t>
      </w:r>
      <w:r w:rsidRPr="005E271E">
        <w:rPr>
          <w:rFonts w:ascii="Arial" w:hAnsi="Arial" w:cs="Arial"/>
          <w:bCs/>
          <w:lang w:val="es-CR" w:eastAsia="es-CR"/>
        </w:rPr>
        <w:t xml:space="preserve">compromiso creíble con el objetivo inflacionario (Ha, </w:t>
      </w:r>
      <w:proofErr w:type="spellStart"/>
      <w:r w:rsidRPr="005E271E">
        <w:rPr>
          <w:rFonts w:ascii="Arial" w:hAnsi="Arial" w:cs="Arial"/>
          <w:bCs/>
          <w:lang w:val="es-CR" w:eastAsia="es-CR"/>
        </w:rPr>
        <w:t>Stocker</w:t>
      </w:r>
      <w:proofErr w:type="spellEnd"/>
      <w:r w:rsidRPr="005E271E">
        <w:rPr>
          <w:rFonts w:ascii="Arial" w:hAnsi="Arial" w:cs="Arial"/>
          <w:bCs/>
          <w:lang w:val="es-CR" w:eastAsia="es-CR"/>
        </w:rPr>
        <w:t xml:space="preserve">, </w:t>
      </w:r>
      <w:proofErr w:type="spellStart"/>
      <w:r w:rsidRPr="005E271E">
        <w:rPr>
          <w:rFonts w:ascii="Arial" w:hAnsi="Arial" w:cs="Arial"/>
          <w:bCs/>
          <w:lang w:val="es-CR" w:eastAsia="es-CR"/>
        </w:rPr>
        <w:t>Yilmazkuday</w:t>
      </w:r>
      <w:proofErr w:type="spellEnd"/>
      <w:r w:rsidRPr="005E271E">
        <w:rPr>
          <w:rFonts w:ascii="Arial" w:hAnsi="Arial" w:cs="Arial"/>
          <w:bCs/>
          <w:lang w:val="es-CR" w:eastAsia="es-CR"/>
        </w:rPr>
        <w:t>, 2019: 31)</w:t>
      </w:r>
      <w:r w:rsidRPr="005E271E">
        <w:rPr>
          <w:rFonts w:ascii="Arial" w:hAnsi="Arial" w:cs="Arial"/>
          <w:bCs/>
          <w:vertAlign w:val="superscript"/>
          <w:lang w:val="es-CR" w:eastAsia="es-CR"/>
        </w:rPr>
        <w:footnoteReference w:id="6"/>
      </w:r>
      <w:r w:rsidRPr="005E271E">
        <w:rPr>
          <w:rFonts w:ascii="Arial" w:hAnsi="Arial" w:cs="Arial"/>
          <w:bCs/>
          <w:lang w:val="es-CR" w:eastAsia="es-CR"/>
        </w:rPr>
        <w:t>.</w:t>
      </w: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br/>
        <w:t>Si revisamos la historia de la inflación en nuestro país, podemos caracterizar los niveles de precios de acuerdo con el régimen cambiario seguido en Costa Rica, tal y como se muestra en la siguiente tabla:</w:t>
      </w:r>
    </w:p>
    <w:p w:rsidR="005E271E" w:rsidRPr="005E271E" w:rsidRDefault="005E271E" w:rsidP="005E271E">
      <w:pPr>
        <w:spacing w:line="276" w:lineRule="auto"/>
        <w:jc w:val="both"/>
        <w:rPr>
          <w:rFonts w:ascii="Arial" w:hAnsi="Arial" w:cs="Arial"/>
          <w:bCs/>
          <w:lang w:val="es-CR" w:eastAsia="es-CR"/>
        </w:rPr>
      </w:pP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Tabla 1: Costa Rica, promedio de variación interanual de la inflación en Costa Rica, según régimen cambiario implementado por la autoridad monetaria, 1984-2022.</w:t>
      </w:r>
    </w:p>
    <w:p w:rsidR="005E271E" w:rsidRPr="005E271E" w:rsidRDefault="005E271E" w:rsidP="005E271E">
      <w:pPr>
        <w:spacing w:line="276" w:lineRule="auto"/>
        <w:jc w:val="both"/>
        <w:rPr>
          <w:rFonts w:ascii="Arial" w:hAnsi="Arial" w:cs="Arial"/>
          <w:bCs/>
          <w:lang w:val="es-CR" w:eastAsia="es-CR"/>
        </w:rPr>
      </w:pPr>
    </w:p>
    <w:tbl>
      <w:tblPr>
        <w:tblW w:w="7160" w:type="dxa"/>
        <w:tblCellMar>
          <w:left w:w="70" w:type="dxa"/>
          <w:right w:w="70" w:type="dxa"/>
        </w:tblCellMar>
        <w:tblLook w:val="04A0" w:firstRow="1" w:lastRow="0" w:firstColumn="1" w:lastColumn="0" w:noHBand="0" w:noVBand="1"/>
      </w:tblPr>
      <w:tblGrid>
        <w:gridCol w:w="2080"/>
        <w:gridCol w:w="1600"/>
        <w:gridCol w:w="3480"/>
      </w:tblGrid>
      <w:tr w:rsidR="005E271E" w:rsidRPr="005E271E" w:rsidTr="00531CDE">
        <w:trPr>
          <w:trHeight w:val="300"/>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1984-2006</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14.95</w:t>
            </w:r>
          </w:p>
        </w:tc>
        <w:tc>
          <w:tcPr>
            <w:tcW w:w="3480" w:type="dxa"/>
            <w:tcBorders>
              <w:top w:val="single" w:sz="4" w:space="0" w:color="auto"/>
              <w:left w:val="nil"/>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Minidevaluaciones</w:t>
            </w:r>
          </w:p>
        </w:tc>
      </w:tr>
      <w:tr w:rsidR="005E271E" w:rsidRPr="005E271E" w:rsidTr="00531CDE">
        <w:trPr>
          <w:trHeight w:val="300"/>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2007-2014</w:t>
            </w:r>
          </w:p>
        </w:tc>
        <w:tc>
          <w:tcPr>
            <w:tcW w:w="1600" w:type="dxa"/>
            <w:tcBorders>
              <w:top w:val="nil"/>
              <w:left w:val="nil"/>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6.94</w:t>
            </w:r>
          </w:p>
        </w:tc>
        <w:tc>
          <w:tcPr>
            <w:tcW w:w="3480" w:type="dxa"/>
            <w:tcBorders>
              <w:top w:val="nil"/>
              <w:left w:val="nil"/>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Bandas cambiarias</w:t>
            </w:r>
          </w:p>
        </w:tc>
      </w:tr>
      <w:tr w:rsidR="005E271E" w:rsidRPr="005E271E" w:rsidTr="00531CDE">
        <w:trPr>
          <w:trHeight w:val="300"/>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2015-2022</w:t>
            </w:r>
          </w:p>
        </w:tc>
        <w:tc>
          <w:tcPr>
            <w:tcW w:w="1600" w:type="dxa"/>
            <w:tcBorders>
              <w:top w:val="nil"/>
              <w:left w:val="nil"/>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1.78</w:t>
            </w:r>
          </w:p>
        </w:tc>
        <w:tc>
          <w:tcPr>
            <w:tcW w:w="3480" w:type="dxa"/>
            <w:tcBorders>
              <w:top w:val="nil"/>
              <w:left w:val="nil"/>
              <w:bottom w:val="single" w:sz="4" w:space="0" w:color="auto"/>
              <w:right w:val="single" w:sz="4" w:space="0" w:color="auto"/>
            </w:tcBorders>
            <w:shd w:val="clear" w:color="auto" w:fill="auto"/>
            <w:noWrap/>
            <w:vAlign w:val="center"/>
            <w:hideMark/>
          </w:tcPr>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Flotación administrada</w:t>
            </w:r>
          </w:p>
        </w:tc>
      </w:tr>
    </w:tbl>
    <w:p w:rsidR="005E271E" w:rsidRPr="005E271E" w:rsidRDefault="005E271E" w:rsidP="005E271E">
      <w:pPr>
        <w:spacing w:line="276" w:lineRule="auto"/>
        <w:jc w:val="both"/>
        <w:rPr>
          <w:rFonts w:ascii="Arial" w:hAnsi="Arial" w:cs="Arial"/>
          <w:bCs/>
          <w:lang w:val="es-CR" w:eastAsia="es-CR"/>
        </w:rPr>
      </w:pP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Fuente: Elaboración propia. Datos: BCCR (2022)</w:t>
      </w:r>
      <w:r w:rsidRPr="005E271E">
        <w:rPr>
          <w:rFonts w:ascii="Arial" w:hAnsi="Arial" w:cs="Arial"/>
          <w:bCs/>
          <w:vertAlign w:val="superscript"/>
          <w:lang w:val="es-CR" w:eastAsia="es-CR"/>
        </w:rPr>
        <w:footnoteReference w:id="7"/>
      </w:r>
    </w:p>
    <w:p w:rsidR="005E271E" w:rsidRPr="005E271E" w:rsidRDefault="005E271E" w:rsidP="005E271E">
      <w:pPr>
        <w:spacing w:line="276" w:lineRule="auto"/>
        <w:jc w:val="both"/>
        <w:rPr>
          <w:rFonts w:ascii="Arial" w:hAnsi="Arial" w:cs="Arial"/>
          <w:bCs/>
          <w:lang w:val="es-CR" w:eastAsia="es-CR"/>
        </w:rPr>
      </w:pP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Entre 1984 y 2006 el país adoptó un esquema cambiario denominado “minidevaluaciones”, durante el cual la inflación promedio (medida como promedio de la variación inter</w:t>
      </w:r>
      <w:r>
        <w:rPr>
          <w:rFonts w:ascii="Arial" w:hAnsi="Arial" w:cs="Arial"/>
          <w:bCs/>
          <w:lang w:val="es-CR" w:eastAsia="es-CR"/>
        </w:rPr>
        <w:t>a</w:t>
      </w:r>
      <w:r w:rsidRPr="005E271E">
        <w:rPr>
          <w:rFonts w:ascii="Arial" w:hAnsi="Arial" w:cs="Arial"/>
          <w:bCs/>
          <w:lang w:val="es-CR" w:eastAsia="es-CR"/>
        </w:rPr>
        <w:t>nual) se situó en 14.95</w:t>
      </w:r>
      <w:r>
        <w:rPr>
          <w:rFonts w:ascii="Arial" w:hAnsi="Arial" w:cs="Arial"/>
          <w:bCs/>
          <w:lang w:val="es-CR" w:eastAsia="es-CR"/>
        </w:rPr>
        <w:t>%</w:t>
      </w:r>
      <w:r w:rsidRPr="005E271E">
        <w:rPr>
          <w:rFonts w:ascii="Arial" w:hAnsi="Arial" w:cs="Arial"/>
          <w:bCs/>
          <w:lang w:val="es-CR" w:eastAsia="es-CR"/>
        </w:rPr>
        <w:t>. A partir de ese año se adoptó un esquema denominado “bandas cambiarias” y el cual tuvo una inflación promedio de 6.94</w:t>
      </w:r>
      <w:r>
        <w:rPr>
          <w:rFonts w:ascii="Arial" w:hAnsi="Arial" w:cs="Arial"/>
          <w:bCs/>
          <w:lang w:val="es-CR" w:eastAsia="es-CR"/>
        </w:rPr>
        <w:t>%</w:t>
      </w:r>
      <w:r w:rsidRPr="005E271E">
        <w:rPr>
          <w:rFonts w:ascii="Arial" w:hAnsi="Arial" w:cs="Arial"/>
          <w:bCs/>
          <w:lang w:val="es-CR" w:eastAsia="es-CR"/>
        </w:rPr>
        <w:t>. Finalmente, a partir del 2015 y hasta la fecha se ha implementado un régimen de “flotación administrada” cuyo promedio de inflación fue de 1.78, pero que ha en los últimos 18 meses ha presentado un comportamiento atípico, tal y como se muestra en el siguiente gráfico:</w:t>
      </w:r>
    </w:p>
    <w:p w:rsidR="005E271E" w:rsidRPr="005E271E" w:rsidRDefault="005E271E" w:rsidP="005E271E">
      <w:pPr>
        <w:spacing w:line="276" w:lineRule="auto"/>
        <w:jc w:val="both"/>
        <w:rPr>
          <w:rFonts w:ascii="Arial" w:hAnsi="Arial" w:cs="Arial"/>
          <w:bCs/>
          <w:lang w:val="es-CR" w:eastAsia="es-CR"/>
        </w:rPr>
      </w:pP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Gráfico 1: Costa Rica, variación interanual de la inflación. Enero 2015-julio2022.</w:t>
      </w: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noProof/>
          <w:lang w:val="es-CR" w:eastAsia="es-CR"/>
        </w:rPr>
        <w:drawing>
          <wp:inline distT="0" distB="0" distL="0" distR="0" wp14:anchorId="501CC3CB" wp14:editId="7A9016D0">
            <wp:extent cx="5612130" cy="2177415"/>
            <wp:effectExtent l="0" t="0" r="7620" b="13335"/>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E271E" w:rsidRP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Fuente: Elaboración propia. Datos: BCCR (2022)</w:t>
      </w:r>
    </w:p>
    <w:p w:rsidR="005E271E" w:rsidRPr="005E271E" w:rsidRDefault="005E271E" w:rsidP="005E271E">
      <w:pPr>
        <w:spacing w:line="276" w:lineRule="auto"/>
        <w:jc w:val="both"/>
        <w:rPr>
          <w:rFonts w:ascii="Arial" w:hAnsi="Arial" w:cs="Arial"/>
          <w:bCs/>
          <w:lang w:val="es-CR" w:eastAsia="es-CR"/>
        </w:rPr>
      </w:pPr>
    </w:p>
    <w:p w:rsidR="005E271E" w:rsidRDefault="005E271E" w:rsidP="005E271E">
      <w:pPr>
        <w:spacing w:line="276" w:lineRule="auto"/>
        <w:jc w:val="both"/>
        <w:rPr>
          <w:rFonts w:ascii="Arial" w:hAnsi="Arial" w:cs="Arial"/>
          <w:bCs/>
          <w:lang w:val="es-CR" w:eastAsia="es-CR"/>
        </w:rPr>
      </w:pPr>
      <w:r w:rsidRPr="005E271E">
        <w:rPr>
          <w:rFonts w:ascii="Arial" w:hAnsi="Arial" w:cs="Arial"/>
          <w:bCs/>
          <w:lang w:val="es-CR" w:eastAsia="es-CR"/>
        </w:rPr>
        <w:t xml:space="preserve">Como se muestra en el gráfico 1, a partir del junio del 2022 la inflación interanual </w:t>
      </w:r>
      <w:r w:rsidR="00464219">
        <w:rPr>
          <w:rFonts w:ascii="Arial" w:hAnsi="Arial" w:cs="Arial"/>
          <w:bCs/>
          <w:lang w:val="es-CR" w:eastAsia="es-CR"/>
        </w:rPr>
        <w:t>super</w:t>
      </w:r>
      <w:r w:rsidRPr="005E271E">
        <w:rPr>
          <w:rFonts w:ascii="Arial" w:hAnsi="Arial" w:cs="Arial"/>
          <w:bCs/>
          <w:lang w:val="es-CR" w:eastAsia="es-CR"/>
        </w:rPr>
        <w:t>ó la barrera de los dos dígitos, con un 10%, lo que supone un escenario que la autoridad monetaria no había enfrentado desde la crisis internacional del 2008-2009, y ante el cual el Banco Central tendrá que probar la efectividad de sus instrumentos de política, en un escenario de un conflicto armado internacional que tiende a profundizarse</w:t>
      </w:r>
      <w:r w:rsidR="00464219">
        <w:rPr>
          <w:rFonts w:ascii="Arial" w:hAnsi="Arial" w:cs="Arial"/>
          <w:bCs/>
          <w:lang w:val="es-CR" w:eastAsia="es-CR"/>
        </w:rPr>
        <w:t xml:space="preserve"> en vez de resolverse</w:t>
      </w:r>
      <w:r w:rsidRPr="005E271E">
        <w:rPr>
          <w:rFonts w:ascii="Arial" w:hAnsi="Arial" w:cs="Arial"/>
          <w:bCs/>
          <w:lang w:val="es-CR" w:eastAsia="es-CR"/>
        </w:rPr>
        <w:t xml:space="preserve">, por lo que incluso a pesar del compromiso explícito de las autoridades con el objetivo inflacionario, es previsible que durante el 2024 y el 2025 la inflación </w:t>
      </w:r>
      <w:r w:rsidR="00464219">
        <w:rPr>
          <w:rFonts w:ascii="Arial" w:hAnsi="Arial" w:cs="Arial"/>
          <w:bCs/>
          <w:lang w:val="es-CR" w:eastAsia="es-CR"/>
        </w:rPr>
        <w:t xml:space="preserve">aún </w:t>
      </w:r>
      <w:r w:rsidRPr="005E271E">
        <w:rPr>
          <w:rFonts w:ascii="Arial" w:hAnsi="Arial" w:cs="Arial"/>
          <w:bCs/>
          <w:lang w:val="es-CR" w:eastAsia="es-CR"/>
        </w:rPr>
        <w:t>se encuentre por encima del rango de tolerancia definido +/-1% alrededor del 3%.</w:t>
      </w:r>
    </w:p>
    <w:p w:rsidR="008267AC" w:rsidRPr="005E271E" w:rsidRDefault="008267AC" w:rsidP="005E271E">
      <w:pPr>
        <w:spacing w:line="276" w:lineRule="auto"/>
        <w:jc w:val="both"/>
        <w:rPr>
          <w:rFonts w:ascii="Arial" w:hAnsi="Arial" w:cs="Arial"/>
          <w:bCs/>
          <w:lang w:val="es-CR" w:eastAsia="es-CR"/>
        </w:rPr>
      </w:pPr>
    </w:p>
    <w:p w:rsidR="005E271E" w:rsidRPr="00184B19" w:rsidRDefault="00464219" w:rsidP="00920D52">
      <w:pPr>
        <w:spacing w:line="276" w:lineRule="auto"/>
        <w:jc w:val="both"/>
        <w:rPr>
          <w:rFonts w:ascii="Arial" w:hAnsi="Arial" w:cs="Arial"/>
          <w:bCs/>
          <w:lang w:eastAsia="es-CR"/>
        </w:rPr>
      </w:pPr>
      <w:r>
        <w:rPr>
          <w:rFonts w:ascii="Arial" w:hAnsi="Arial" w:cs="Arial"/>
          <w:bCs/>
          <w:lang w:eastAsia="es-CR"/>
        </w:rPr>
        <w:lastRenderedPageBreak/>
        <w:t xml:space="preserve">De esta manera, las presiones inflacionarias </w:t>
      </w:r>
      <w:r w:rsidR="009E40C7">
        <w:rPr>
          <w:rFonts w:ascii="Arial" w:hAnsi="Arial" w:cs="Arial"/>
          <w:bCs/>
          <w:lang w:eastAsia="es-CR"/>
        </w:rPr>
        <w:t>estructuralmente vinculadas el sector externo afectarán</w:t>
      </w:r>
      <w:r>
        <w:rPr>
          <w:rFonts w:ascii="Arial" w:hAnsi="Arial" w:cs="Arial"/>
          <w:bCs/>
          <w:lang w:eastAsia="es-CR"/>
        </w:rPr>
        <w:t xml:space="preserve"> las finanzas personales y familiares de los costarricense lo que resta del 2022 y</w:t>
      </w:r>
      <w:r w:rsidR="009E40C7">
        <w:rPr>
          <w:rFonts w:ascii="Arial" w:hAnsi="Arial" w:cs="Arial"/>
          <w:bCs/>
          <w:lang w:eastAsia="es-CR"/>
        </w:rPr>
        <w:t xml:space="preserve"> todo el 2023, pero debido al historial inflacionario del país, la novedad de este fenómeno para el régimen cambiario actual, y por la prolongación de los conflictos armados internacionales, la persistencia inflacionaria podría prolongarse</w:t>
      </w:r>
      <w:r>
        <w:rPr>
          <w:rFonts w:ascii="Arial" w:hAnsi="Arial" w:cs="Arial"/>
          <w:bCs/>
          <w:lang w:eastAsia="es-CR"/>
        </w:rPr>
        <w:t xml:space="preserve"> hasta por los próximos 3 años</w:t>
      </w:r>
      <w:r w:rsidR="000F6D13">
        <w:rPr>
          <w:rFonts w:ascii="Arial" w:hAnsi="Arial" w:cs="Arial"/>
          <w:bCs/>
          <w:lang w:eastAsia="es-CR"/>
        </w:rPr>
        <w:t xml:space="preserve">, y por tanto debería considerarse excluir </w:t>
      </w:r>
      <w:r w:rsidR="002F3826">
        <w:rPr>
          <w:rFonts w:ascii="Arial" w:hAnsi="Arial" w:cs="Arial"/>
          <w:bCs/>
          <w:lang w:eastAsia="es-CR"/>
        </w:rPr>
        <w:t>d</w:t>
      </w:r>
      <w:r w:rsidR="000F6D13">
        <w:rPr>
          <w:rFonts w:ascii="Arial" w:hAnsi="Arial" w:cs="Arial"/>
          <w:bCs/>
          <w:lang w:eastAsia="es-CR"/>
        </w:rPr>
        <w:t xml:space="preserve">el pago </w:t>
      </w:r>
      <w:r w:rsidR="002F3826">
        <w:rPr>
          <w:rFonts w:ascii="Arial" w:hAnsi="Arial" w:cs="Arial"/>
          <w:bCs/>
          <w:lang w:eastAsia="es-CR"/>
        </w:rPr>
        <w:t>del impuesto de valor agreg</w:t>
      </w:r>
      <w:r w:rsidR="000F6D13">
        <w:rPr>
          <w:rFonts w:ascii="Arial" w:hAnsi="Arial" w:cs="Arial"/>
          <w:bCs/>
          <w:lang w:eastAsia="es-CR"/>
        </w:rPr>
        <w:t>ado a los servicios de educación privada al menos por los próximos 3 años</w:t>
      </w:r>
      <w:r w:rsidR="008267AC">
        <w:rPr>
          <w:rFonts w:ascii="Arial" w:hAnsi="Arial" w:cs="Arial"/>
          <w:bCs/>
          <w:lang w:eastAsia="es-CR"/>
        </w:rPr>
        <w:t xml:space="preserve"> debido a los rezagos en la formación de expectativas por de los agentes económicos.</w:t>
      </w:r>
    </w:p>
    <w:p w:rsidR="00B83F72" w:rsidRPr="00184B19" w:rsidRDefault="00B83F72" w:rsidP="00920D52">
      <w:pPr>
        <w:spacing w:line="276" w:lineRule="auto"/>
        <w:jc w:val="both"/>
        <w:rPr>
          <w:rFonts w:ascii="Arial" w:hAnsi="Arial" w:cs="Arial"/>
          <w:bCs/>
          <w:i/>
          <w:lang w:eastAsia="es-CR"/>
        </w:rPr>
      </w:pPr>
    </w:p>
    <w:p w:rsidR="008F46A0" w:rsidRPr="00184B19" w:rsidRDefault="00427FC1" w:rsidP="00920D52">
      <w:pPr>
        <w:spacing w:line="276" w:lineRule="auto"/>
        <w:jc w:val="both"/>
        <w:rPr>
          <w:rFonts w:ascii="Arial" w:hAnsi="Arial" w:cs="Arial"/>
          <w:lang w:eastAsia="en-US"/>
        </w:rPr>
      </w:pPr>
      <w:r w:rsidRPr="00184B19">
        <w:rPr>
          <w:rFonts w:ascii="Arial" w:hAnsi="Arial" w:cs="Arial"/>
          <w:lang w:eastAsia="en-US"/>
        </w:rPr>
        <w:t xml:space="preserve">Es por todo lo anterior que con criterios de </w:t>
      </w:r>
      <w:r w:rsidR="008F46A0" w:rsidRPr="00184B19">
        <w:rPr>
          <w:rFonts w:ascii="Arial" w:hAnsi="Arial" w:cs="Arial"/>
          <w:lang w:eastAsia="en-US"/>
        </w:rPr>
        <w:t xml:space="preserve">conveniencia y oportunidad de las y los señores diputados, es importante considerar que, si </w:t>
      </w:r>
      <w:r w:rsidRPr="00184B19">
        <w:rPr>
          <w:rFonts w:ascii="Arial" w:hAnsi="Arial" w:cs="Arial"/>
          <w:lang w:eastAsia="en-US"/>
        </w:rPr>
        <w:t>la inflación sigue en aumento y las tarifas o montos a cancelar siempre van por encima</w:t>
      </w:r>
      <w:r w:rsidR="0084558A" w:rsidRPr="00184B19">
        <w:rPr>
          <w:rStyle w:val="Refdenotaalpie"/>
          <w:rFonts w:ascii="Arial" w:hAnsi="Arial" w:cs="Arial"/>
          <w:lang w:eastAsia="en-US"/>
        </w:rPr>
        <w:footnoteReference w:id="8"/>
      </w:r>
      <w:r w:rsidRPr="00184B19">
        <w:rPr>
          <w:rFonts w:ascii="Arial" w:hAnsi="Arial" w:cs="Arial"/>
          <w:lang w:eastAsia="en-US"/>
        </w:rPr>
        <w:t xml:space="preserve"> de esta,</w:t>
      </w:r>
      <w:r w:rsidR="008F46A0" w:rsidRPr="00184B19">
        <w:rPr>
          <w:rFonts w:ascii="Arial" w:hAnsi="Arial" w:cs="Arial"/>
          <w:lang w:eastAsia="en-US"/>
        </w:rPr>
        <w:t xml:space="preserve"> </w:t>
      </w:r>
      <w:r w:rsidRPr="00184B19">
        <w:rPr>
          <w:rFonts w:ascii="Arial" w:hAnsi="Arial" w:cs="Arial"/>
          <w:lang w:eastAsia="en-US"/>
        </w:rPr>
        <w:t>debe aliviarse dichos montos finales del Impuesto de Valor Agregado asignado a dicho rubro, debe interrumpirse en un</w:t>
      </w:r>
      <w:r w:rsidR="008F46A0" w:rsidRPr="00184B19">
        <w:rPr>
          <w:rFonts w:ascii="Arial" w:hAnsi="Arial" w:cs="Arial"/>
          <w:lang w:eastAsia="en-US"/>
        </w:rPr>
        <w:t xml:space="preserve"> lapso de tiempo</w:t>
      </w:r>
      <w:r w:rsidRPr="00184B19">
        <w:rPr>
          <w:rFonts w:ascii="Arial" w:hAnsi="Arial" w:cs="Arial"/>
          <w:lang w:eastAsia="en-US"/>
        </w:rPr>
        <w:t xml:space="preserve"> razonable y proporcional</w:t>
      </w:r>
      <w:r w:rsidR="008F46A0" w:rsidRPr="00184B19">
        <w:rPr>
          <w:rFonts w:ascii="Arial" w:hAnsi="Arial" w:cs="Arial"/>
          <w:lang w:eastAsia="en-US"/>
        </w:rPr>
        <w:t xml:space="preserve"> para </w:t>
      </w:r>
      <w:r w:rsidRPr="00184B19">
        <w:rPr>
          <w:rFonts w:ascii="Arial" w:hAnsi="Arial" w:cs="Arial"/>
          <w:lang w:eastAsia="en-US"/>
        </w:rPr>
        <w:t>una</w:t>
      </w:r>
      <w:r w:rsidR="008F46A0" w:rsidRPr="00184B19">
        <w:rPr>
          <w:rFonts w:ascii="Arial" w:hAnsi="Arial" w:cs="Arial"/>
          <w:lang w:eastAsia="en-US"/>
        </w:rPr>
        <w:t xml:space="preserve"> </w:t>
      </w:r>
      <w:r w:rsidR="00B46C01">
        <w:rPr>
          <w:rFonts w:ascii="Arial" w:hAnsi="Arial" w:cs="Arial"/>
          <w:lang w:eastAsia="en-US"/>
        </w:rPr>
        <w:t>exención</w:t>
      </w:r>
      <w:r w:rsidR="008267AC">
        <w:rPr>
          <w:rFonts w:ascii="Arial" w:hAnsi="Arial" w:cs="Arial"/>
          <w:lang w:eastAsia="en-US"/>
        </w:rPr>
        <w:t xml:space="preserve"> de mínimo tres años</w:t>
      </w:r>
      <w:r w:rsidR="008F46A0" w:rsidRPr="00184B19">
        <w:rPr>
          <w:rFonts w:ascii="Arial" w:hAnsi="Arial" w:cs="Arial"/>
          <w:lang w:eastAsia="en-US"/>
        </w:rPr>
        <w:t xml:space="preserve">, pues la medida resultaría necesaria desde la perspectiva </w:t>
      </w:r>
      <w:r w:rsidRPr="00184B19">
        <w:rPr>
          <w:rFonts w:ascii="Arial" w:hAnsi="Arial" w:cs="Arial"/>
          <w:lang w:eastAsia="en-US"/>
        </w:rPr>
        <w:t>actual para contrarrestar el aumento en el costo de la vida de los y las costarricenses</w:t>
      </w:r>
      <w:r w:rsidR="008F46A0" w:rsidRPr="00184B19">
        <w:rPr>
          <w:rFonts w:ascii="Arial" w:hAnsi="Arial" w:cs="Arial"/>
          <w:lang w:eastAsia="en-US"/>
        </w:rPr>
        <w:t xml:space="preserve">. </w:t>
      </w:r>
    </w:p>
    <w:p w:rsidR="00E01D09" w:rsidRPr="00184B19" w:rsidRDefault="00473147" w:rsidP="0084558A">
      <w:pPr>
        <w:suppressAutoHyphens w:val="0"/>
        <w:spacing w:line="276" w:lineRule="auto"/>
        <w:rPr>
          <w:rFonts w:ascii="Arial" w:hAnsi="Arial" w:cs="Arial"/>
        </w:rPr>
      </w:pPr>
      <w:r w:rsidRPr="00184B19">
        <w:rPr>
          <w:rFonts w:ascii="Arial" w:hAnsi="Arial" w:cs="Arial"/>
        </w:rPr>
        <w:br w:type="page"/>
      </w:r>
      <w:r w:rsidR="00B83F72" w:rsidRPr="00184B19">
        <w:rPr>
          <w:rFonts w:ascii="Arial" w:hAnsi="Arial" w:cs="Arial"/>
        </w:rPr>
        <w:lastRenderedPageBreak/>
        <w:t>II.</w:t>
      </w:r>
      <w:r w:rsidR="00B83F72" w:rsidRPr="00184B19">
        <w:rPr>
          <w:rFonts w:ascii="Arial" w:hAnsi="Arial" w:cs="Arial"/>
        </w:rPr>
        <w:tab/>
      </w:r>
      <w:r w:rsidR="00E01D09" w:rsidRPr="00184B19">
        <w:rPr>
          <w:rFonts w:ascii="Arial" w:hAnsi="Arial" w:cs="Arial"/>
        </w:rPr>
        <w:t>Resumen del proyecto de ley</w:t>
      </w:r>
    </w:p>
    <w:p w:rsidR="007A6998" w:rsidRPr="00184B19" w:rsidRDefault="007A6998" w:rsidP="00920D52">
      <w:pPr>
        <w:spacing w:line="276" w:lineRule="auto"/>
        <w:jc w:val="both"/>
        <w:rPr>
          <w:rFonts w:ascii="Arial" w:hAnsi="Arial" w:cs="Arial"/>
        </w:rPr>
      </w:pPr>
    </w:p>
    <w:p w:rsidR="00342877" w:rsidRPr="00184B19" w:rsidRDefault="00427FC1" w:rsidP="00920D52">
      <w:pPr>
        <w:spacing w:line="276" w:lineRule="auto"/>
        <w:jc w:val="both"/>
        <w:rPr>
          <w:rFonts w:ascii="Arial" w:hAnsi="Arial" w:cs="Arial"/>
        </w:rPr>
      </w:pPr>
      <w:r w:rsidRPr="00184B19">
        <w:rPr>
          <w:rFonts w:ascii="Arial" w:hAnsi="Arial" w:cs="Arial"/>
        </w:rPr>
        <w:t xml:space="preserve">Los altos aumentos que ha traído la inflación y su directa relación a los aumentos en la prestación de los servicios de educación privada, </w:t>
      </w:r>
      <w:r w:rsidR="00473147" w:rsidRPr="00184B19">
        <w:rPr>
          <w:rFonts w:ascii="Arial" w:hAnsi="Arial" w:cs="Arial"/>
        </w:rPr>
        <w:t>hacen</w:t>
      </w:r>
      <w:r w:rsidRPr="00184B19">
        <w:rPr>
          <w:rFonts w:ascii="Arial" w:hAnsi="Arial" w:cs="Arial"/>
        </w:rPr>
        <w:t xml:space="preserve"> necesaria una </w:t>
      </w:r>
      <w:r w:rsidR="00A87A19">
        <w:rPr>
          <w:rFonts w:ascii="Arial" w:hAnsi="Arial" w:cs="Arial"/>
        </w:rPr>
        <w:t>exención</w:t>
      </w:r>
      <w:r w:rsidRPr="00184B19">
        <w:rPr>
          <w:rFonts w:ascii="Arial" w:hAnsi="Arial" w:cs="Arial"/>
        </w:rPr>
        <w:t xml:space="preserve"> del monto correspondiente al Impuesto de Valor Agregado para estos servicios fundamentales como lo es la educación</w:t>
      </w:r>
      <w:r w:rsidR="00C1131B">
        <w:rPr>
          <w:rFonts w:ascii="Arial" w:hAnsi="Arial" w:cs="Arial"/>
        </w:rPr>
        <w:t xml:space="preserve"> superior privada</w:t>
      </w:r>
      <w:r w:rsidRPr="00184B19">
        <w:rPr>
          <w:rFonts w:ascii="Arial" w:hAnsi="Arial" w:cs="Arial"/>
        </w:rPr>
        <w:t>, indiferentemente si es prestada por un privado</w:t>
      </w:r>
      <w:r w:rsidR="00EA3160" w:rsidRPr="00184B19">
        <w:rPr>
          <w:rFonts w:ascii="Arial" w:hAnsi="Arial" w:cs="Arial"/>
        </w:rPr>
        <w:t>.</w:t>
      </w:r>
    </w:p>
    <w:p w:rsidR="00EA3160" w:rsidRPr="00184B19" w:rsidRDefault="00EA3160" w:rsidP="00920D52">
      <w:pPr>
        <w:suppressAutoHyphens w:val="0"/>
        <w:spacing w:line="276" w:lineRule="auto"/>
        <w:jc w:val="both"/>
        <w:rPr>
          <w:rFonts w:ascii="Arial" w:hAnsi="Arial" w:cs="Arial"/>
        </w:rPr>
      </w:pPr>
    </w:p>
    <w:p w:rsidR="00C1131B" w:rsidRDefault="00EA3160" w:rsidP="00920D52">
      <w:pPr>
        <w:suppressAutoHyphens w:val="0"/>
        <w:spacing w:line="276" w:lineRule="auto"/>
        <w:jc w:val="both"/>
        <w:rPr>
          <w:rFonts w:ascii="Arial" w:hAnsi="Arial" w:cs="Arial"/>
        </w:rPr>
      </w:pPr>
      <w:r w:rsidRPr="00184B19">
        <w:rPr>
          <w:rFonts w:ascii="Arial" w:hAnsi="Arial" w:cs="Arial"/>
        </w:rPr>
        <w:t xml:space="preserve">La presente iniciativa tiene como fundamento, la necesidad de proteger </w:t>
      </w:r>
      <w:r w:rsidR="00427FC1" w:rsidRPr="00184B19">
        <w:rPr>
          <w:rFonts w:ascii="Arial" w:hAnsi="Arial" w:cs="Arial"/>
        </w:rPr>
        <w:t xml:space="preserve">el acceso a la educación </w:t>
      </w:r>
      <w:r w:rsidR="00C1131B">
        <w:rPr>
          <w:rFonts w:ascii="Arial" w:hAnsi="Arial" w:cs="Arial"/>
        </w:rPr>
        <w:t xml:space="preserve">superior privada </w:t>
      </w:r>
      <w:r w:rsidR="00427FC1" w:rsidRPr="00184B19">
        <w:rPr>
          <w:rFonts w:ascii="Arial" w:hAnsi="Arial" w:cs="Arial"/>
        </w:rPr>
        <w:t>de los y las costarricenses</w:t>
      </w:r>
      <w:r w:rsidR="00C1131B">
        <w:rPr>
          <w:rFonts w:ascii="Arial" w:hAnsi="Arial" w:cs="Arial"/>
        </w:rPr>
        <w:t>.</w:t>
      </w:r>
    </w:p>
    <w:p w:rsidR="00C1131B" w:rsidRDefault="00C1131B" w:rsidP="00920D52">
      <w:pPr>
        <w:suppressAutoHyphens w:val="0"/>
        <w:spacing w:line="276" w:lineRule="auto"/>
        <w:jc w:val="both"/>
        <w:rPr>
          <w:rFonts w:ascii="Arial" w:hAnsi="Arial" w:cs="Arial"/>
          <w:bCs/>
          <w:lang w:eastAsia="es-CR"/>
        </w:rPr>
      </w:pPr>
    </w:p>
    <w:p w:rsidR="00F56F35" w:rsidRPr="00184B19" w:rsidRDefault="003A5E89" w:rsidP="00920D52">
      <w:pPr>
        <w:suppressAutoHyphens w:val="0"/>
        <w:spacing w:line="276" w:lineRule="auto"/>
        <w:jc w:val="both"/>
        <w:rPr>
          <w:rFonts w:ascii="Arial" w:hAnsi="Arial" w:cs="Arial"/>
          <w:bCs/>
          <w:lang w:eastAsia="es-CR"/>
        </w:rPr>
      </w:pPr>
      <w:r w:rsidRPr="00184B19">
        <w:rPr>
          <w:rFonts w:ascii="Arial" w:hAnsi="Arial" w:cs="Arial"/>
          <w:bCs/>
          <w:lang w:eastAsia="es-CR"/>
        </w:rPr>
        <w:t xml:space="preserve">Lo anterior tendría como consecuencia, el que las </w:t>
      </w:r>
      <w:r w:rsidR="00473147" w:rsidRPr="00184B19">
        <w:rPr>
          <w:rFonts w:ascii="Arial" w:hAnsi="Arial" w:cs="Arial"/>
          <w:bCs/>
          <w:lang w:eastAsia="es-CR"/>
        </w:rPr>
        <w:t>personas usuarias de este servicio público</w:t>
      </w:r>
      <w:r w:rsidRPr="00184B19">
        <w:rPr>
          <w:rFonts w:ascii="Arial" w:hAnsi="Arial" w:cs="Arial"/>
          <w:bCs/>
          <w:lang w:eastAsia="es-CR"/>
        </w:rPr>
        <w:t xml:space="preserve"> contaran con un plazo </w:t>
      </w:r>
      <w:r w:rsidR="008267AC">
        <w:rPr>
          <w:rFonts w:ascii="Arial" w:hAnsi="Arial" w:cs="Arial"/>
          <w:bCs/>
          <w:lang w:eastAsia="es-CR"/>
        </w:rPr>
        <w:t>de tres años debidamente razonado</w:t>
      </w:r>
      <w:r w:rsidR="00A87A19">
        <w:rPr>
          <w:rFonts w:ascii="Arial" w:hAnsi="Arial" w:cs="Arial"/>
          <w:bCs/>
          <w:lang w:eastAsia="es-CR"/>
        </w:rPr>
        <w:t xml:space="preserve"> en el apartado anterior</w:t>
      </w:r>
      <w:r w:rsidR="008267AC">
        <w:rPr>
          <w:rFonts w:ascii="Arial" w:hAnsi="Arial" w:cs="Arial"/>
          <w:bCs/>
          <w:lang w:eastAsia="es-CR"/>
        </w:rPr>
        <w:t xml:space="preserve"> </w:t>
      </w:r>
      <w:r w:rsidRPr="00184B19">
        <w:rPr>
          <w:rFonts w:ascii="Arial" w:hAnsi="Arial" w:cs="Arial"/>
          <w:bCs/>
          <w:lang w:eastAsia="es-CR"/>
        </w:rPr>
        <w:t xml:space="preserve">que les </w:t>
      </w:r>
      <w:r w:rsidR="00473147" w:rsidRPr="00184B19">
        <w:rPr>
          <w:rFonts w:ascii="Arial" w:hAnsi="Arial" w:cs="Arial"/>
          <w:bCs/>
          <w:lang w:eastAsia="es-CR"/>
        </w:rPr>
        <w:t>p</w:t>
      </w:r>
      <w:r w:rsidRPr="00184B19">
        <w:rPr>
          <w:rFonts w:ascii="Arial" w:hAnsi="Arial" w:cs="Arial"/>
          <w:bCs/>
          <w:lang w:eastAsia="es-CR"/>
        </w:rPr>
        <w:t>ermita ajustar o adaptar su</w:t>
      </w:r>
      <w:r w:rsidR="00473147" w:rsidRPr="00184B19">
        <w:rPr>
          <w:rFonts w:ascii="Arial" w:hAnsi="Arial" w:cs="Arial"/>
          <w:bCs/>
          <w:lang w:eastAsia="es-CR"/>
        </w:rPr>
        <w:t>s gastos de primera necesidad ante las consecuencias de la actual inflación que golpea directamente la calidad de vida de la población.</w:t>
      </w:r>
    </w:p>
    <w:p w:rsidR="00342877" w:rsidRPr="00184B19" w:rsidRDefault="00342877" w:rsidP="00920D52">
      <w:pPr>
        <w:spacing w:line="276" w:lineRule="auto"/>
        <w:jc w:val="both"/>
        <w:rPr>
          <w:rFonts w:ascii="Arial" w:hAnsi="Arial" w:cs="Arial"/>
        </w:rPr>
      </w:pPr>
    </w:p>
    <w:p w:rsidR="00F56F35" w:rsidRPr="00184B19" w:rsidRDefault="00F56F35" w:rsidP="00920D52">
      <w:pPr>
        <w:spacing w:line="276" w:lineRule="auto"/>
        <w:jc w:val="both"/>
        <w:rPr>
          <w:rFonts w:ascii="Arial" w:hAnsi="Arial" w:cs="Arial"/>
        </w:rPr>
      </w:pPr>
      <w:r w:rsidRPr="00184B19">
        <w:rPr>
          <w:rFonts w:ascii="Arial" w:hAnsi="Arial" w:cs="Arial"/>
        </w:rPr>
        <w:t xml:space="preserve">Considerando lo expuesto, y con el objetivo de proteger la </w:t>
      </w:r>
      <w:r w:rsidR="00473147" w:rsidRPr="00184B19">
        <w:rPr>
          <w:rFonts w:ascii="Arial" w:hAnsi="Arial" w:cs="Arial"/>
        </w:rPr>
        <w:t>educación y el acceso a la misma</w:t>
      </w:r>
      <w:r w:rsidRPr="00184B19">
        <w:rPr>
          <w:rFonts w:ascii="Arial" w:hAnsi="Arial" w:cs="Arial"/>
        </w:rPr>
        <w:t>, se somete al conocimiento y la aprobación de los señores y las señoras diputadas el presente proyecto de ley.</w:t>
      </w:r>
    </w:p>
    <w:p w:rsidR="00363E49" w:rsidRPr="00184B19" w:rsidRDefault="00363E49" w:rsidP="00920D52">
      <w:pPr>
        <w:tabs>
          <w:tab w:val="left" w:pos="-720"/>
        </w:tabs>
        <w:spacing w:line="276" w:lineRule="auto"/>
        <w:jc w:val="center"/>
        <w:rPr>
          <w:rFonts w:ascii="Arial" w:hAnsi="Arial" w:cs="Arial"/>
          <w:b/>
          <w:bCs/>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B83F72" w:rsidRPr="00184B19" w:rsidRDefault="00B83F72" w:rsidP="00920D52">
      <w:pPr>
        <w:spacing w:line="276" w:lineRule="auto"/>
        <w:jc w:val="center"/>
        <w:rPr>
          <w:rFonts w:ascii="Arial" w:hAnsi="Arial" w:cs="Arial"/>
          <w:b/>
          <w:bCs/>
          <w:lang w:eastAsia="es-CR"/>
        </w:rPr>
      </w:pPr>
    </w:p>
    <w:p w:rsidR="00184B19" w:rsidRPr="00920D52" w:rsidRDefault="00184B19" w:rsidP="00184B19">
      <w:pPr>
        <w:suppressAutoHyphens w:val="0"/>
        <w:spacing w:line="276" w:lineRule="auto"/>
        <w:jc w:val="center"/>
        <w:rPr>
          <w:rFonts w:ascii="Arial" w:hAnsi="Arial" w:cs="Arial"/>
          <w:bCs/>
          <w:lang w:eastAsia="es-CR"/>
        </w:rPr>
      </w:pPr>
      <w:r w:rsidRPr="00920D52">
        <w:rPr>
          <w:rFonts w:ascii="Arial" w:hAnsi="Arial" w:cs="Arial"/>
          <w:bCs/>
          <w:lang w:eastAsia="es-CR"/>
        </w:rPr>
        <w:t>LA ASAMBLEA LEGISLATIVA DE LA REPÚBLICA DE COSTA RICA</w:t>
      </w:r>
    </w:p>
    <w:p w:rsidR="00184B19" w:rsidRPr="00920D52" w:rsidRDefault="00184B19" w:rsidP="00184B19">
      <w:pPr>
        <w:spacing w:line="276" w:lineRule="auto"/>
        <w:jc w:val="center"/>
        <w:rPr>
          <w:rFonts w:ascii="Arial" w:hAnsi="Arial" w:cs="Arial"/>
          <w:bCs/>
          <w:lang w:eastAsia="es-CR"/>
        </w:rPr>
      </w:pPr>
      <w:r w:rsidRPr="00920D52">
        <w:rPr>
          <w:rFonts w:ascii="Arial" w:hAnsi="Arial" w:cs="Arial"/>
          <w:bCs/>
          <w:lang w:eastAsia="es-CR"/>
        </w:rPr>
        <w:t>DECRETA:</w:t>
      </w:r>
    </w:p>
    <w:p w:rsidR="00184B19" w:rsidRPr="00920D52" w:rsidRDefault="00184B19" w:rsidP="00184B19">
      <w:pPr>
        <w:spacing w:line="276" w:lineRule="auto"/>
        <w:jc w:val="center"/>
        <w:rPr>
          <w:rFonts w:ascii="Arial" w:hAnsi="Arial" w:cs="Arial"/>
          <w:b/>
          <w:bCs/>
          <w:lang w:eastAsia="es-CR"/>
        </w:rPr>
      </w:pPr>
    </w:p>
    <w:p w:rsidR="00184B19" w:rsidRPr="00920D52" w:rsidRDefault="00184B19" w:rsidP="00184B19">
      <w:pPr>
        <w:spacing w:line="276" w:lineRule="auto"/>
        <w:jc w:val="center"/>
        <w:rPr>
          <w:rFonts w:ascii="Arial" w:hAnsi="Arial" w:cs="Arial"/>
          <w:b/>
          <w:bCs/>
          <w:lang w:eastAsia="es-CR"/>
        </w:rPr>
      </w:pPr>
    </w:p>
    <w:p w:rsidR="00184B19" w:rsidRPr="00920D52" w:rsidRDefault="00184B19" w:rsidP="00184B19">
      <w:pPr>
        <w:spacing w:line="276" w:lineRule="auto"/>
        <w:jc w:val="center"/>
        <w:rPr>
          <w:rFonts w:ascii="Arial" w:hAnsi="Arial" w:cs="Arial"/>
          <w:b/>
        </w:rPr>
      </w:pPr>
      <w:r>
        <w:rPr>
          <w:rFonts w:ascii="Arial" w:hAnsi="Arial" w:cs="Arial"/>
          <w:b/>
        </w:rPr>
        <w:t>EXCENCIÓN</w:t>
      </w:r>
      <w:r w:rsidRPr="00920D52">
        <w:rPr>
          <w:rFonts w:ascii="Arial" w:hAnsi="Arial" w:cs="Arial"/>
          <w:b/>
        </w:rPr>
        <w:t xml:space="preserve"> PARA LA APLICACIÓN DEL IMPUESTO SOBRE</w:t>
      </w:r>
    </w:p>
    <w:p w:rsidR="00184B19" w:rsidRPr="00920D52" w:rsidRDefault="00184B19" w:rsidP="00184B19">
      <w:pPr>
        <w:spacing w:line="276" w:lineRule="auto"/>
        <w:jc w:val="center"/>
        <w:rPr>
          <w:rFonts w:ascii="Arial" w:hAnsi="Arial" w:cs="Arial"/>
          <w:b/>
        </w:rPr>
      </w:pPr>
      <w:r w:rsidRPr="00920D52">
        <w:rPr>
          <w:rFonts w:ascii="Arial" w:hAnsi="Arial" w:cs="Arial"/>
          <w:b/>
        </w:rPr>
        <w:t>EL VALOR AGREGADO (IVA) A LA EDUCACIÓN</w:t>
      </w:r>
      <w:r w:rsidR="00C1131B">
        <w:rPr>
          <w:rFonts w:ascii="Arial" w:hAnsi="Arial" w:cs="Arial"/>
          <w:b/>
        </w:rPr>
        <w:t xml:space="preserve"> SUPERIOR PRIVADA</w:t>
      </w:r>
    </w:p>
    <w:p w:rsidR="00184B19" w:rsidRPr="00920D52" w:rsidRDefault="00184B19" w:rsidP="00184B19">
      <w:pPr>
        <w:suppressAutoHyphens w:val="0"/>
        <w:spacing w:line="276" w:lineRule="auto"/>
        <w:jc w:val="center"/>
        <w:rPr>
          <w:rFonts w:ascii="Arial" w:hAnsi="Arial" w:cs="Arial"/>
          <w:b/>
          <w:bCs/>
          <w:lang w:eastAsia="es-CR"/>
        </w:rPr>
      </w:pPr>
    </w:p>
    <w:p w:rsidR="00184B19" w:rsidRDefault="00184B19" w:rsidP="00184B19">
      <w:pPr>
        <w:rPr>
          <w:rFonts w:ascii="Arial" w:hAnsi="Arial" w:cs="Arial"/>
          <w:b/>
        </w:rPr>
      </w:pPr>
    </w:p>
    <w:p w:rsidR="00184B19" w:rsidRDefault="00184B19" w:rsidP="007B7570">
      <w:pPr>
        <w:jc w:val="both"/>
        <w:rPr>
          <w:rFonts w:ascii="Arial" w:hAnsi="Arial" w:cs="Arial"/>
        </w:rPr>
      </w:pPr>
      <w:r w:rsidRPr="0097069C">
        <w:rPr>
          <w:rFonts w:ascii="Arial" w:hAnsi="Arial" w:cs="Arial"/>
          <w:b/>
          <w:bCs/>
          <w:lang w:eastAsia="es-CR"/>
        </w:rPr>
        <w:t>ARTÍCULO ÚNICO</w:t>
      </w:r>
      <w:r w:rsidRPr="00920D52">
        <w:rPr>
          <w:rFonts w:ascii="Arial" w:hAnsi="Arial" w:cs="Arial"/>
          <w:bCs/>
          <w:lang w:eastAsia="es-CR"/>
        </w:rPr>
        <w:t>-</w:t>
      </w:r>
      <w:r>
        <w:rPr>
          <w:rFonts w:ascii="Arial" w:hAnsi="Arial" w:cs="Arial"/>
          <w:bCs/>
          <w:lang w:eastAsia="es-CR"/>
        </w:rPr>
        <w:t xml:space="preserve"> </w:t>
      </w:r>
      <w:r w:rsidR="00C1131B">
        <w:rPr>
          <w:rFonts w:ascii="Arial" w:hAnsi="Arial" w:cs="Arial"/>
          <w:bCs/>
          <w:lang w:eastAsia="es-CR"/>
        </w:rPr>
        <w:t xml:space="preserve">Agréguese un transitorio nuevo </w:t>
      </w:r>
      <w:r w:rsidR="007B7570">
        <w:rPr>
          <w:rFonts w:ascii="Arial" w:hAnsi="Arial" w:cs="Arial"/>
          <w:bCs/>
          <w:lang w:eastAsia="es-CR"/>
        </w:rPr>
        <w:t xml:space="preserve">a la </w:t>
      </w:r>
      <w:r w:rsidRPr="00725436">
        <w:rPr>
          <w:rFonts w:ascii="Arial" w:hAnsi="Arial" w:cs="Arial"/>
        </w:rPr>
        <w:t>Ley 9635</w:t>
      </w:r>
      <w:r w:rsidR="007B7570">
        <w:rPr>
          <w:rFonts w:ascii="Arial" w:hAnsi="Arial" w:cs="Arial"/>
        </w:rPr>
        <w:t>. Ley de</w:t>
      </w:r>
      <w:r w:rsidRPr="00725436">
        <w:rPr>
          <w:rFonts w:ascii="Arial" w:hAnsi="Arial" w:cs="Arial"/>
        </w:rPr>
        <w:t xml:space="preserve"> Fortalecimiento de las Finanzas Públicas </w:t>
      </w:r>
      <w:r w:rsidR="007B7570">
        <w:rPr>
          <w:rFonts w:ascii="Arial" w:hAnsi="Arial" w:cs="Arial"/>
        </w:rPr>
        <w:t>y sus reformas que se lea de la siguiente manera:</w:t>
      </w:r>
    </w:p>
    <w:p w:rsidR="007B7570" w:rsidRDefault="007B7570" w:rsidP="007B7570">
      <w:pPr>
        <w:jc w:val="both"/>
        <w:rPr>
          <w:rFonts w:ascii="Arial" w:hAnsi="Arial" w:cs="Arial"/>
        </w:rPr>
      </w:pPr>
    </w:p>
    <w:p w:rsidR="007B7570" w:rsidRPr="00725436" w:rsidRDefault="007B7570" w:rsidP="007B7570">
      <w:pPr>
        <w:jc w:val="both"/>
        <w:rPr>
          <w:rFonts w:ascii="Arial" w:hAnsi="Arial" w:cs="Arial"/>
        </w:rPr>
      </w:pPr>
      <w:r>
        <w:rPr>
          <w:rFonts w:ascii="Arial" w:hAnsi="Arial" w:cs="Arial"/>
        </w:rPr>
        <w:t xml:space="preserve">“Transitorio nuevo: Los servicios de educación superior privada gravados en el </w:t>
      </w:r>
      <w:proofErr w:type="spellStart"/>
      <w:r>
        <w:rPr>
          <w:rFonts w:ascii="Arial" w:hAnsi="Arial" w:cs="Arial"/>
        </w:rPr>
        <w:t>subinciso</w:t>
      </w:r>
      <w:proofErr w:type="spellEnd"/>
      <w:r>
        <w:rPr>
          <w:rFonts w:ascii="Arial" w:hAnsi="Arial" w:cs="Arial"/>
        </w:rPr>
        <w:t xml:space="preserve"> b) del inciso 2) del artículo 11</w:t>
      </w:r>
      <w:r w:rsidR="00183E8F">
        <w:rPr>
          <w:rFonts w:ascii="Arial" w:hAnsi="Arial" w:cs="Arial"/>
        </w:rPr>
        <w:t xml:space="preserve"> </w:t>
      </w:r>
      <w:r>
        <w:rPr>
          <w:rFonts w:ascii="Arial" w:hAnsi="Arial" w:cs="Arial"/>
        </w:rPr>
        <w:t xml:space="preserve">del Título I de esta ley, estarán exentos de pagar el impuesto del valor agregado durante tres años a partir de la vigencia de esta ley.” </w:t>
      </w:r>
    </w:p>
    <w:p w:rsidR="00184B19" w:rsidRDefault="00184B19" w:rsidP="00184B19">
      <w:pPr>
        <w:rPr>
          <w:rFonts w:ascii="Arial" w:hAnsi="Arial" w:cs="Arial"/>
        </w:rPr>
      </w:pPr>
    </w:p>
    <w:p w:rsidR="00184B19" w:rsidRPr="00920D52" w:rsidRDefault="00184B19" w:rsidP="00184B19">
      <w:pPr>
        <w:suppressAutoHyphens w:val="0"/>
        <w:spacing w:line="276" w:lineRule="auto"/>
        <w:jc w:val="both"/>
        <w:rPr>
          <w:rFonts w:ascii="Arial" w:hAnsi="Arial" w:cs="Arial"/>
          <w:bCs/>
          <w:lang w:eastAsia="es-CR"/>
        </w:rPr>
      </w:pPr>
    </w:p>
    <w:p w:rsidR="00184B19" w:rsidRPr="00920D52" w:rsidRDefault="00184B19" w:rsidP="00184B19">
      <w:pPr>
        <w:spacing w:line="276" w:lineRule="auto"/>
        <w:jc w:val="both"/>
        <w:rPr>
          <w:rFonts w:ascii="Arial" w:hAnsi="Arial" w:cs="Arial"/>
          <w:bCs/>
        </w:rPr>
      </w:pPr>
      <w:r w:rsidRPr="00920D52">
        <w:rPr>
          <w:rFonts w:ascii="Arial" w:hAnsi="Arial" w:cs="Arial"/>
          <w:bCs/>
        </w:rPr>
        <w:t>Rige a partir de su publicación.</w:t>
      </w:r>
    </w:p>
    <w:p w:rsidR="00184B19" w:rsidRPr="00920D52" w:rsidRDefault="00184B19" w:rsidP="00184B19">
      <w:pPr>
        <w:spacing w:line="276" w:lineRule="auto"/>
        <w:jc w:val="both"/>
        <w:rPr>
          <w:rFonts w:ascii="Arial" w:hAnsi="Arial" w:cs="Arial"/>
          <w:bCs/>
        </w:rPr>
      </w:pPr>
    </w:p>
    <w:p w:rsidR="00184B19" w:rsidRPr="00920D52" w:rsidRDefault="00184B19" w:rsidP="00184B19">
      <w:pPr>
        <w:spacing w:line="276" w:lineRule="auto"/>
        <w:jc w:val="both"/>
        <w:rPr>
          <w:rFonts w:ascii="Arial" w:hAnsi="Arial" w:cs="Arial"/>
          <w:bCs/>
        </w:rPr>
      </w:pPr>
    </w:p>
    <w:p w:rsidR="00184B19" w:rsidRPr="00920D52" w:rsidRDefault="00184B19" w:rsidP="00184B19">
      <w:pPr>
        <w:pStyle w:val="Sinespaciado"/>
        <w:spacing w:line="276" w:lineRule="auto"/>
        <w:jc w:val="both"/>
        <w:rPr>
          <w:rFonts w:ascii="Arial" w:hAnsi="Arial" w:cs="Arial"/>
          <w:b/>
          <w:sz w:val="24"/>
          <w:szCs w:val="24"/>
        </w:rPr>
      </w:pPr>
    </w:p>
    <w:p w:rsidR="00184B19" w:rsidRPr="00920D52" w:rsidRDefault="00184B19" w:rsidP="00184B19">
      <w:pPr>
        <w:pStyle w:val="Sinespaciado"/>
        <w:spacing w:line="276" w:lineRule="auto"/>
        <w:jc w:val="both"/>
        <w:rPr>
          <w:rFonts w:ascii="Arial" w:hAnsi="Arial" w:cs="Arial"/>
          <w:b/>
          <w:sz w:val="24"/>
          <w:szCs w:val="24"/>
        </w:rPr>
      </w:pPr>
    </w:p>
    <w:p w:rsidR="00184B19" w:rsidRPr="00920D52" w:rsidRDefault="00184B19" w:rsidP="00184B19">
      <w:pPr>
        <w:spacing w:line="276" w:lineRule="auto"/>
        <w:jc w:val="both"/>
        <w:rPr>
          <w:rFonts w:ascii="Arial" w:eastAsia="Arial" w:hAnsi="Arial" w:cs="Arial"/>
          <w:lang w:val="es-CR"/>
        </w:rPr>
      </w:pPr>
      <w:r w:rsidRPr="00920D52">
        <w:rPr>
          <w:rFonts w:ascii="Arial" w:eastAsia="Arial" w:hAnsi="Arial" w:cs="Arial"/>
          <w:lang w:val="es-CR"/>
        </w:rPr>
        <w:t>Ariel Robles Barrantes</w:t>
      </w:r>
      <w:r w:rsidRPr="00920D52">
        <w:rPr>
          <w:rFonts w:ascii="Arial" w:eastAsia="Arial" w:hAnsi="Arial" w:cs="Arial"/>
          <w:lang w:val="es-CR"/>
        </w:rPr>
        <w:tab/>
      </w:r>
      <w:r w:rsidRPr="00920D52">
        <w:rPr>
          <w:rFonts w:ascii="Arial" w:eastAsia="Arial" w:hAnsi="Arial" w:cs="Arial"/>
          <w:lang w:val="es-CR"/>
        </w:rPr>
        <w:tab/>
      </w:r>
      <w:r w:rsidRPr="00920D52">
        <w:rPr>
          <w:rFonts w:ascii="Arial" w:eastAsia="Arial" w:hAnsi="Arial" w:cs="Arial"/>
          <w:lang w:val="es-CR"/>
        </w:rPr>
        <w:tab/>
      </w:r>
      <w:r w:rsidRPr="00920D52">
        <w:rPr>
          <w:rFonts w:ascii="Arial" w:eastAsia="Arial" w:hAnsi="Arial" w:cs="Arial"/>
          <w:lang w:val="es-CR"/>
        </w:rPr>
        <w:tab/>
        <w:t xml:space="preserve">                     Priscilla Vindas Salazar</w:t>
      </w:r>
    </w:p>
    <w:p w:rsidR="00184B19" w:rsidRDefault="00184B19" w:rsidP="00184B19">
      <w:pPr>
        <w:spacing w:line="276" w:lineRule="auto"/>
        <w:jc w:val="both"/>
        <w:rPr>
          <w:rFonts w:ascii="Arial" w:eastAsia="Arial" w:hAnsi="Arial" w:cs="Arial"/>
          <w:lang w:val="es-CR"/>
        </w:rPr>
      </w:pPr>
    </w:p>
    <w:p w:rsidR="00184B19" w:rsidRPr="00920D52" w:rsidRDefault="00184B19" w:rsidP="00184B19">
      <w:pPr>
        <w:spacing w:line="276" w:lineRule="auto"/>
        <w:jc w:val="both"/>
        <w:rPr>
          <w:rFonts w:ascii="Arial" w:eastAsia="Arial" w:hAnsi="Arial" w:cs="Arial"/>
          <w:lang w:val="es-CR"/>
        </w:rPr>
      </w:pPr>
    </w:p>
    <w:p w:rsidR="00184B19" w:rsidRPr="00920D52" w:rsidRDefault="00184B19" w:rsidP="00184B19">
      <w:pPr>
        <w:spacing w:line="276" w:lineRule="auto"/>
        <w:jc w:val="both"/>
        <w:rPr>
          <w:rFonts w:ascii="Arial" w:eastAsia="Arial" w:hAnsi="Arial" w:cs="Arial"/>
          <w:lang w:val="es-CR"/>
        </w:rPr>
      </w:pPr>
    </w:p>
    <w:p w:rsidR="00184B19" w:rsidRPr="00920D52" w:rsidRDefault="00184B19" w:rsidP="00184B19">
      <w:pPr>
        <w:spacing w:line="276" w:lineRule="auto"/>
        <w:jc w:val="both"/>
        <w:rPr>
          <w:rFonts w:ascii="Arial" w:eastAsia="Arial" w:hAnsi="Arial" w:cs="Arial"/>
          <w:lang w:val="es-CR"/>
        </w:rPr>
      </w:pPr>
      <w:r w:rsidRPr="00920D52">
        <w:rPr>
          <w:rFonts w:ascii="Arial" w:eastAsia="Arial" w:hAnsi="Arial" w:cs="Arial"/>
          <w:lang w:val="es-CR"/>
        </w:rPr>
        <w:t>Jonathan Acuña Soto</w:t>
      </w:r>
      <w:r w:rsidRPr="00920D52">
        <w:rPr>
          <w:rFonts w:ascii="Arial" w:eastAsia="Arial" w:hAnsi="Arial" w:cs="Arial"/>
          <w:lang w:val="es-CR"/>
        </w:rPr>
        <w:tab/>
      </w:r>
      <w:r w:rsidRPr="00920D52">
        <w:rPr>
          <w:rFonts w:ascii="Arial" w:eastAsia="Arial" w:hAnsi="Arial" w:cs="Arial"/>
          <w:lang w:val="es-CR"/>
        </w:rPr>
        <w:tab/>
      </w:r>
      <w:r w:rsidRPr="00920D52">
        <w:rPr>
          <w:rFonts w:ascii="Arial" w:eastAsia="Arial" w:hAnsi="Arial" w:cs="Arial"/>
          <w:lang w:val="es-CR"/>
        </w:rPr>
        <w:tab/>
      </w:r>
      <w:r w:rsidRPr="00920D52">
        <w:rPr>
          <w:rFonts w:ascii="Arial" w:eastAsia="Arial" w:hAnsi="Arial" w:cs="Arial"/>
          <w:lang w:val="es-CR"/>
        </w:rPr>
        <w:tab/>
        <w:t xml:space="preserve">                           Rocío Alfaro Molina</w:t>
      </w:r>
    </w:p>
    <w:p w:rsidR="00184B19" w:rsidRDefault="00184B19" w:rsidP="00184B19">
      <w:pPr>
        <w:spacing w:line="276" w:lineRule="auto"/>
        <w:jc w:val="both"/>
        <w:rPr>
          <w:rFonts w:ascii="Arial" w:eastAsia="Arial" w:hAnsi="Arial" w:cs="Arial"/>
          <w:lang w:val="es-CR"/>
        </w:rPr>
      </w:pPr>
    </w:p>
    <w:p w:rsidR="00184B19" w:rsidRPr="00920D52" w:rsidRDefault="00184B19" w:rsidP="00184B19">
      <w:pPr>
        <w:spacing w:line="276" w:lineRule="auto"/>
        <w:jc w:val="both"/>
        <w:rPr>
          <w:rFonts w:ascii="Arial" w:eastAsia="Arial" w:hAnsi="Arial" w:cs="Arial"/>
          <w:lang w:val="es-CR"/>
        </w:rPr>
      </w:pPr>
    </w:p>
    <w:p w:rsidR="00184B19" w:rsidRPr="00920D52" w:rsidRDefault="00184B19" w:rsidP="00184B19">
      <w:pPr>
        <w:spacing w:line="276" w:lineRule="auto"/>
        <w:jc w:val="both"/>
        <w:rPr>
          <w:rFonts w:ascii="Arial" w:eastAsia="Arial" w:hAnsi="Arial" w:cs="Arial"/>
          <w:lang w:val="es-CR"/>
        </w:rPr>
      </w:pPr>
    </w:p>
    <w:p w:rsidR="00184B19" w:rsidRPr="00920D52" w:rsidRDefault="00184B19" w:rsidP="00184B19">
      <w:pPr>
        <w:spacing w:line="276" w:lineRule="auto"/>
        <w:jc w:val="both"/>
        <w:rPr>
          <w:rFonts w:ascii="Arial" w:eastAsia="Arial" w:hAnsi="Arial" w:cs="Arial"/>
          <w:lang w:val="es-CR"/>
        </w:rPr>
      </w:pPr>
      <w:r w:rsidRPr="00920D52">
        <w:rPr>
          <w:rFonts w:ascii="Arial" w:eastAsia="Arial" w:hAnsi="Arial" w:cs="Arial"/>
          <w:lang w:val="es-CR"/>
        </w:rPr>
        <w:t>Antonio Ortega Gutiérrez</w:t>
      </w:r>
      <w:r w:rsidRPr="00920D52">
        <w:rPr>
          <w:rFonts w:ascii="Arial" w:eastAsia="Arial" w:hAnsi="Arial" w:cs="Arial"/>
          <w:lang w:val="es-CR"/>
        </w:rPr>
        <w:tab/>
      </w:r>
      <w:r w:rsidRPr="00920D52">
        <w:rPr>
          <w:rFonts w:ascii="Arial" w:eastAsia="Arial" w:hAnsi="Arial" w:cs="Arial"/>
          <w:lang w:val="es-CR"/>
        </w:rPr>
        <w:tab/>
      </w:r>
      <w:r w:rsidRPr="00920D52">
        <w:rPr>
          <w:rFonts w:ascii="Arial" w:eastAsia="Arial" w:hAnsi="Arial" w:cs="Arial"/>
          <w:lang w:val="es-CR"/>
        </w:rPr>
        <w:tab/>
      </w:r>
      <w:r w:rsidRPr="00920D52">
        <w:rPr>
          <w:rFonts w:ascii="Arial" w:eastAsia="Arial" w:hAnsi="Arial" w:cs="Arial"/>
          <w:lang w:val="es-CR"/>
        </w:rPr>
        <w:tab/>
        <w:t xml:space="preserve">                           Sofía Guillén Pérez</w:t>
      </w:r>
    </w:p>
    <w:p w:rsidR="00184B19" w:rsidRPr="00920D52" w:rsidRDefault="00184B19" w:rsidP="00184B19">
      <w:pPr>
        <w:spacing w:line="276" w:lineRule="auto"/>
        <w:jc w:val="center"/>
        <w:rPr>
          <w:rFonts w:ascii="Arial" w:eastAsia="Arial" w:hAnsi="Arial" w:cs="Arial"/>
          <w:lang w:val="es-CR"/>
        </w:rPr>
      </w:pPr>
    </w:p>
    <w:p w:rsidR="00184B19" w:rsidRPr="00920D52" w:rsidRDefault="00184B19" w:rsidP="00184B19">
      <w:pPr>
        <w:spacing w:line="276" w:lineRule="auto"/>
        <w:jc w:val="center"/>
        <w:rPr>
          <w:rFonts w:ascii="Arial" w:eastAsia="Arial" w:hAnsi="Arial" w:cs="Arial"/>
          <w:lang w:val="es-CR"/>
        </w:rPr>
      </w:pPr>
    </w:p>
    <w:p w:rsidR="00184B19" w:rsidRDefault="00184B19" w:rsidP="00184B19">
      <w:pPr>
        <w:spacing w:line="276" w:lineRule="auto"/>
        <w:jc w:val="center"/>
        <w:rPr>
          <w:rFonts w:ascii="Arial" w:eastAsia="Arial" w:hAnsi="Arial" w:cs="Arial"/>
          <w:b/>
          <w:lang w:val="es-CR"/>
        </w:rPr>
      </w:pPr>
      <w:r w:rsidRPr="00920D52">
        <w:rPr>
          <w:rFonts w:ascii="Arial" w:eastAsia="Arial" w:hAnsi="Arial" w:cs="Arial"/>
          <w:b/>
          <w:lang w:val="es-CR"/>
        </w:rPr>
        <w:t>Diputados y Diputadas</w:t>
      </w:r>
    </w:p>
    <w:p w:rsidR="00265FC5" w:rsidRDefault="00265FC5" w:rsidP="00184B19">
      <w:pPr>
        <w:spacing w:line="276" w:lineRule="auto"/>
        <w:jc w:val="center"/>
        <w:rPr>
          <w:rFonts w:ascii="Arial" w:eastAsia="Arial" w:hAnsi="Arial" w:cs="Arial"/>
          <w:b/>
          <w:lang w:val="es-CR"/>
        </w:rPr>
      </w:pPr>
    </w:p>
    <w:p w:rsidR="00265FC5" w:rsidRDefault="00265FC5" w:rsidP="00184B19">
      <w:pPr>
        <w:spacing w:line="276" w:lineRule="auto"/>
        <w:jc w:val="center"/>
        <w:rPr>
          <w:rFonts w:ascii="Arial" w:eastAsia="Arial" w:hAnsi="Arial" w:cs="Arial"/>
          <w:b/>
          <w:lang w:val="es-CR"/>
        </w:rPr>
      </w:pPr>
    </w:p>
    <w:p w:rsidR="00265FC5" w:rsidRDefault="00265FC5" w:rsidP="00265FC5">
      <w:pPr>
        <w:spacing w:line="360" w:lineRule="auto"/>
        <w:jc w:val="center"/>
        <w:rPr>
          <w:rFonts w:ascii="Arial" w:hAnsi="Arial" w:cs="Arial"/>
          <w:b/>
        </w:rPr>
      </w:pPr>
    </w:p>
    <w:p w:rsidR="00265FC5" w:rsidRDefault="00265FC5" w:rsidP="00265FC5">
      <w:pPr>
        <w:spacing w:line="360" w:lineRule="auto"/>
        <w:jc w:val="center"/>
        <w:rPr>
          <w:rFonts w:ascii="Arial" w:hAnsi="Arial" w:cs="Arial"/>
          <w:b/>
        </w:rPr>
      </w:pPr>
    </w:p>
    <w:p w:rsidR="00920D52" w:rsidRPr="00265FC5" w:rsidRDefault="00265FC5" w:rsidP="00265FC5">
      <w:pPr>
        <w:spacing w:line="360" w:lineRule="auto"/>
        <w:jc w:val="center"/>
        <w:rPr>
          <w:b/>
        </w:rPr>
      </w:pPr>
      <w:r w:rsidRPr="00BE1DF3">
        <w:rPr>
          <w:b/>
        </w:rPr>
        <w:t>El expediente legislativo aún no tiene Comisión asignada</w:t>
      </w:r>
    </w:p>
    <w:sectPr w:rsidR="00920D52" w:rsidRPr="00265FC5" w:rsidSect="00F0580B">
      <w:pgSz w:w="12240" w:h="15840"/>
      <w:pgMar w:top="1417" w:right="1701" w:bottom="1417"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265E" w:rsidRDefault="00F3265E">
      <w:r>
        <w:separator/>
      </w:r>
    </w:p>
  </w:endnote>
  <w:endnote w:type="continuationSeparator" w:id="0">
    <w:p w:rsidR="00F3265E" w:rsidRDefault="00F32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NewRomanPSMT">
    <w:altName w:val="Times New Roman"/>
    <w:charset w:val="00"/>
    <w:family w:val="swiss"/>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265E" w:rsidRDefault="00F3265E">
      <w:r>
        <w:separator/>
      </w:r>
    </w:p>
  </w:footnote>
  <w:footnote w:type="continuationSeparator" w:id="0">
    <w:p w:rsidR="00F3265E" w:rsidRDefault="00F3265E">
      <w:r>
        <w:continuationSeparator/>
      </w:r>
    </w:p>
  </w:footnote>
  <w:footnote w:id="1">
    <w:p w:rsidR="0004081D" w:rsidRPr="00C15D52" w:rsidRDefault="0004081D">
      <w:pPr>
        <w:pStyle w:val="Textonotapie"/>
        <w:rPr>
          <w:lang w:val="es-ES"/>
        </w:rPr>
      </w:pPr>
      <w:r>
        <w:rPr>
          <w:rStyle w:val="Refdenotaalpie"/>
        </w:rPr>
        <w:footnoteRef/>
      </w:r>
      <w:r>
        <w:t xml:space="preserve"> </w:t>
      </w:r>
      <w:r w:rsidRPr="00C15D52">
        <w:t>https://nexuspj.poder-judicial.go.cr/document/sen-1-0007-389645</w:t>
      </w:r>
    </w:p>
  </w:footnote>
  <w:footnote w:id="2">
    <w:p w:rsidR="005018B2" w:rsidRPr="005018B2" w:rsidRDefault="005018B2">
      <w:pPr>
        <w:pStyle w:val="Textonotapie"/>
        <w:rPr>
          <w:lang w:val="es-CR"/>
        </w:rPr>
      </w:pPr>
      <w:r>
        <w:rPr>
          <w:rStyle w:val="Refdenotaalpie"/>
        </w:rPr>
        <w:footnoteRef/>
      </w:r>
      <w:r>
        <w:t xml:space="preserve"> </w:t>
      </w:r>
      <w:r>
        <w:rPr>
          <w:lang w:val="es-CR"/>
        </w:rPr>
        <w:t xml:space="preserve">Brenes Vindas, </w:t>
      </w:r>
      <w:proofErr w:type="spellStart"/>
      <w:r>
        <w:rPr>
          <w:lang w:val="es-CR"/>
        </w:rPr>
        <w:t>Dixie</w:t>
      </w:r>
      <w:proofErr w:type="spellEnd"/>
      <w:r>
        <w:rPr>
          <w:lang w:val="es-CR"/>
        </w:rPr>
        <w:t xml:space="preserve"> (2021) Indicadores del sistema educativo </w:t>
      </w:r>
      <w:proofErr w:type="gramStart"/>
      <w:r>
        <w:rPr>
          <w:lang w:val="es-CR"/>
        </w:rPr>
        <w:t>Costarricense</w:t>
      </w:r>
      <w:proofErr w:type="gramEnd"/>
      <w:r>
        <w:rPr>
          <w:lang w:val="es-CR"/>
        </w:rPr>
        <w:t xml:space="preserve">. Publicación N° 415-21 Disponible en </w:t>
      </w:r>
      <w:hyperlink r:id="rId1" w:history="1">
        <w:r w:rsidR="004250E2" w:rsidRPr="00D81826">
          <w:rPr>
            <w:rStyle w:val="Hipervnculo"/>
            <w:lang w:val="es-CR"/>
          </w:rPr>
          <w:t>https://www.mep.go.cr/indicadores_edu/indice_indicadores.html</w:t>
        </w:r>
      </w:hyperlink>
      <w:r w:rsidR="004250E2">
        <w:rPr>
          <w:lang w:val="es-CR"/>
        </w:rPr>
        <w:t xml:space="preserve"> </w:t>
      </w:r>
      <w:r>
        <w:rPr>
          <w:lang w:val="es-CR"/>
        </w:rPr>
        <w:t xml:space="preserve"> (Consultado 11/02/8/2021)</w:t>
      </w:r>
    </w:p>
  </w:footnote>
  <w:footnote w:id="3">
    <w:p w:rsidR="0004081D" w:rsidRPr="008F46A0" w:rsidRDefault="0004081D">
      <w:pPr>
        <w:pStyle w:val="Textonotapie"/>
        <w:rPr>
          <w:lang w:val="es-ES"/>
        </w:rPr>
      </w:pPr>
      <w:r>
        <w:rPr>
          <w:rStyle w:val="Refdenotaalpie"/>
        </w:rPr>
        <w:footnoteRef/>
      </w:r>
      <w:r>
        <w:t xml:space="preserve"> </w:t>
      </w:r>
      <w:r w:rsidRPr="008F46A0">
        <w:t>https://www.nacion.com/economia/educacion-privada-aumenta-las-tarifas-por-encima-de-la-inflacion/RSMDBXYF6JHLPBXYXMZRDRP7AE/story/</w:t>
      </w:r>
    </w:p>
  </w:footnote>
  <w:footnote w:id="4">
    <w:p w:rsidR="0004081D" w:rsidRPr="008F46A0" w:rsidRDefault="0004081D" w:rsidP="008F46A0">
      <w:pPr>
        <w:pStyle w:val="Textonotapie"/>
        <w:rPr>
          <w:lang w:val="es-ES"/>
        </w:rPr>
      </w:pPr>
      <w:r>
        <w:rPr>
          <w:rStyle w:val="Refdenotaalpie"/>
        </w:rPr>
        <w:footnoteRef/>
      </w:r>
      <w:r>
        <w:t xml:space="preserve"> </w:t>
      </w:r>
      <w:r w:rsidRPr="008F46A0">
        <w:t>https://www.elfinancierocr.com/finanzas/1148-inflacion-interanual-en-julio-del-2022-la-mas/3LSHWARZ2VGKFNPL2TTIKHV4J4/story/</w:t>
      </w:r>
    </w:p>
  </w:footnote>
  <w:footnote w:id="5">
    <w:p w:rsidR="005E271E" w:rsidRDefault="005E271E" w:rsidP="005E271E">
      <w:pPr>
        <w:pStyle w:val="Textonotapie"/>
      </w:pPr>
      <w:r>
        <w:rPr>
          <w:rStyle w:val="Refdenotaalpie"/>
        </w:rPr>
        <w:footnoteRef/>
      </w:r>
      <w:r>
        <w:t xml:space="preserve"> </w:t>
      </w:r>
      <w:r w:rsidRPr="003D422C">
        <w:rPr>
          <w:rFonts w:ascii="Times New Roman" w:hAnsi="Times New Roman" w:cs="Times New Roman"/>
          <w:szCs w:val="24"/>
        </w:rPr>
        <w:t xml:space="preserve">BCCR (2022) BCCR </w:t>
      </w:r>
      <w:proofErr w:type="spellStart"/>
      <w:r w:rsidRPr="003D422C">
        <w:rPr>
          <w:rFonts w:ascii="Times New Roman" w:hAnsi="Times New Roman" w:cs="Times New Roman"/>
          <w:szCs w:val="24"/>
        </w:rPr>
        <w:t>revisa</w:t>
      </w:r>
      <w:proofErr w:type="spellEnd"/>
      <w:r w:rsidRPr="003D422C">
        <w:rPr>
          <w:rFonts w:ascii="Times New Roman" w:hAnsi="Times New Roman" w:cs="Times New Roman"/>
          <w:szCs w:val="24"/>
        </w:rPr>
        <w:t xml:space="preserve"> </w:t>
      </w:r>
      <w:proofErr w:type="spellStart"/>
      <w:r w:rsidRPr="003D422C">
        <w:rPr>
          <w:rFonts w:ascii="Times New Roman" w:hAnsi="Times New Roman" w:cs="Times New Roman"/>
          <w:szCs w:val="24"/>
        </w:rPr>
        <w:t>crecimiento</w:t>
      </w:r>
      <w:proofErr w:type="spellEnd"/>
      <w:r w:rsidRPr="003D422C">
        <w:rPr>
          <w:rFonts w:ascii="Times New Roman" w:hAnsi="Times New Roman" w:cs="Times New Roman"/>
          <w:szCs w:val="24"/>
        </w:rPr>
        <w:t xml:space="preserve"> </w:t>
      </w:r>
      <w:proofErr w:type="spellStart"/>
      <w:r w:rsidRPr="003D422C">
        <w:rPr>
          <w:rFonts w:ascii="Times New Roman" w:hAnsi="Times New Roman" w:cs="Times New Roman"/>
          <w:szCs w:val="24"/>
        </w:rPr>
        <w:t>económico</w:t>
      </w:r>
      <w:proofErr w:type="spellEnd"/>
      <w:r w:rsidRPr="003D422C">
        <w:rPr>
          <w:rFonts w:ascii="Times New Roman" w:hAnsi="Times New Roman" w:cs="Times New Roman"/>
          <w:szCs w:val="24"/>
        </w:rPr>
        <w:t xml:space="preserve"> para el </w:t>
      </w:r>
      <w:proofErr w:type="spellStart"/>
      <w:r w:rsidRPr="003D422C">
        <w:rPr>
          <w:rFonts w:ascii="Times New Roman" w:hAnsi="Times New Roman" w:cs="Times New Roman"/>
          <w:szCs w:val="24"/>
        </w:rPr>
        <w:t>país</w:t>
      </w:r>
      <w:proofErr w:type="spellEnd"/>
      <w:r w:rsidRPr="003D422C">
        <w:rPr>
          <w:rFonts w:ascii="Times New Roman" w:hAnsi="Times New Roman" w:cs="Times New Roman"/>
          <w:szCs w:val="24"/>
        </w:rPr>
        <w:t xml:space="preserve">; 3.4% para el 2022 y 3.9% </w:t>
      </w:r>
      <w:proofErr w:type="spellStart"/>
      <w:r w:rsidRPr="003D422C">
        <w:rPr>
          <w:rFonts w:ascii="Times New Roman" w:hAnsi="Times New Roman" w:cs="Times New Roman"/>
          <w:szCs w:val="24"/>
        </w:rPr>
        <w:t>en</w:t>
      </w:r>
      <w:proofErr w:type="spellEnd"/>
      <w:r w:rsidRPr="003D422C">
        <w:rPr>
          <w:rFonts w:ascii="Times New Roman" w:hAnsi="Times New Roman" w:cs="Times New Roman"/>
          <w:szCs w:val="24"/>
        </w:rPr>
        <w:t xml:space="preserve"> el 2023. CP-BCCR-0014-2022 </w:t>
      </w:r>
      <w:proofErr w:type="spellStart"/>
      <w:r w:rsidRPr="003D422C">
        <w:rPr>
          <w:rFonts w:ascii="Times New Roman" w:hAnsi="Times New Roman" w:cs="Times New Roman"/>
          <w:szCs w:val="24"/>
        </w:rPr>
        <w:t>Disponible</w:t>
      </w:r>
      <w:proofErr w:type="spellEnd"/>
      <w:r w:rsidRPr="003D422C">
        <w:rPr>
          <w:rFonts w:ascii="Times New Roman" w:hAnsi="Times New Roman" w:cs="Times New Roman"/>
          <w:szCs w:val="24"/>
        </w:rPr>
        <w:t xml:space="preserve"> </w:t>
      </w:r>
      <w:proofErr w:type="spellStart"/>
      <w:r w:rsidRPr="003D422C">
        <w:rPr>
          <w:rFonts w:ascii="Times New Roman" w:hAnsi="Times New Roman" w:cs="Times New Roman"/>
          <w:szCs w:val="24"/>
        </w:rPr>
        <w:t>en</w:t>
      </w:r>
      <w:proofErr w:type="spellEnd"/>
      <w:r w:rsidRPr="003D422C">
        <w:rPr>
          <w:rFonts w:ascii="Times New Roman" w:hAnsi="Times New Roman" w:cs="Times New Roman"/>
          <w:szCs w:val="24"/>
        </w:rPr>
        <w:t xml:space="preserve"> (</w:t>
      </w:r>
      <w:hyperlink r:id="rId2" w:history="1">
        <w:r w:rsidRPr="00D81826">
          <w:rPr>
            <w:rStyle w:val="Hipervnculo"/>
            <w:rFonts w:ascii="Times New Roman" w:hAnsi="Times New Roman" w:cs="Times New Roman"/>
            <w:szCs w:val="24"/>
          </w:rPr>
          <w:t>https://www.bccr.fi.cr/comunicacion-y-prensa/Docs_Comunicados_Prensa/CP-BCCR-014-2022-BCCR_revisa_crecimiento_economico_para_2022_y_2023.pdf</w:t>
        </w:r>
      </w:hyperlink>
      <w:r w:rsidRPr="003D422C">
        <w:rPr>
          <w:rFonts w:ascii="Times New Roman" w:hAnsi="Times New Roman" w:cs="Times New Roman"/>
          <w:szCs w:val="24"/>
        </w:rPr>
        <w:t>)</w:t>
      </w:r>
      <w:r>
        <w:rPr>
          <w:rFonts w:ascii="Times New Roman" w:hAnsi="Times New Roman" w:cs="Times New Roman"/>
          <w:szCs w:val="24"/>
        </w:rPr>
        <w:t xml:space="preserve"> (</w:t>
      </w:r>
      <w:proofErr w:type="spellStart"/>
      <w:r>
        <w:rPr>
          <w:rFonts w:ascii="Times New Roman" w:hAnsi="Times New Roman" w:cs="Times New Roman"/>
          <w:szCs w:val="24"/>
        </w:rPr>
        <w:t>Consultado</w:t>
      </w:r>
      <w:proofErr w:type="spellEnd"/>
      <w:r>
        <w:rPr>
          <w:rFonts w:ascii="Times New Roman" w:hAnsi="Times New Roman" w:cs="Times New Roman"/>
          <w:szCs w:val="24"/>
        </w:rPr>
        <w:t xml:space="preserve"> el 1/08/2022)</w:t>
      </w:r>
    </w:p>
  </w:footnote>
  <w:footnote w:id="6">
    <w:p w:rsidR="005E271E" w:rsidRDefault="005E271E" w:rsidP="005E271E">
      <w:pPr>
        <w:pStyle w:val="Textonotapie"/>
      </w:pPr>
      <w:r>
        <w:rPr>
          <w:rStyle w:val="Refdenotaalpie"/>
        </w:rPr>
        <w:footnoteRef/>
      </w:r>
      <w:r>
        <w:t xml:space="preserve"> Ha, </w:t>
      </w:r>
      <w:proofErr w:type="spellStart"/>
      <w:r>
        <w:t>Jongrim</w:t>
      </w:r>
      <w:proofErr w:type="spellEnd"/>
      <w:r>
        <w:t xml:space="preserve">; Stocker, Marc; </w:t>
      </w:r>
      <w:proofErr w:type="spellStart"/>
      <w:r>
        <w:t>Yilmazkuday</w:t>
      </w:r>
      <w:proofErr w:type="spellEnd"/>
      <w:r>
        <w:t xml:space="preserve"> (2019) Inflation and Exchange Rate Pass-Through. Policy Research Working </w:t>
      </w:r>
      <w:proofErr w:type="spellStart"/>
      <w:r>
        <w:t>Papel</w:t>
      </w:r>
      <w:proofErr w:type="spellEnd"/>
      <w:r>
        <w:t xml:space="preserve"> 8780. World Bank Group. </w:t>
      </w:r>
      <w:proofErr w:type="spellStart"/>
      <w:r>
        <w:t>Disponible</w:t>
      </w:r>
      <w:proofErr w:type="spellEnd"/>
      <w:r>
        <w:t xml:space="preserve"> </w:t>
      </w:r>
      <w:proofErr w:type="spellStart"/>
      <w:r>
        <w:t>en</w:t>
      </w:r>
      <w:proofErr w:type="spellEnd"/>
      <w:r>
        <w:t xml:space="preserve"> </w:t>
      </w:r>
      <w:hyperlink r:id="rId3" w:history="1">
        <w:r w:rsidRPr="00D81826">
          <w:rPr>
            <w:rStyle w:val="Hipervnculo"/>
          </w:rPr>
          <w:t>https://openknowledge.worldbank.org/bitstream/handle/10986/31406/WPS8780.pdf?sequence=1&amp;isAllowed=y</w:t>
        </w:r>
      </w:hyperlink>
      <w:r>
        <w:t xml:space="preserve"> (</w:t>
      </w:r>
      <w:proofErr w:type="spellStart"/>
      <w:r>
        <w:t>Consultado</w:t>
      </w:r>
      <w:proofErr w:type="spellEnd"/>
      <w:r>
        <w:t xml:space="preserve"> 1</w:t>
      </w:r>
      <w:r w:rsidR="008267AC">
        <w:t>0</w:t>
      </w:r>
      <w:r>
        <w:t>/08/2022)</w:t>
      </w:r>
    </w:p>
  </w:footnote>
  <w:footnote w:id="7">
    <w:p w:rsidR="005E271E" w:rsidRPr="009E40C7" w:rsidRDefault="005E271E" w:rsidP="00956136">
      <w:pPr>
        <w:pStyle w:val="Textonotapie"/>
        <w:jc w:val="both"/>
        <w:rPr>
          <w:rFonts w:ascii="Arial" w:hAnsi="Arial" w:cs="Arial"/>
        </w:rPr>
      </w:pPr>
      <w:r w:rsidRPr="009E40C7">
        <w:rPr>
          <w:rStyle w:val="Refdenotaalpie"/>
          <w:rFonts w:ascii="Arial" w:hAnsi="Arial" w:cs="Arial"/>
        </w:rPr>
        <w:footnoteRef/>
      </w:r>
      <w:r w:rsidRPr="009E40C7">
        <w:rPr>
          <w:rFonts w:ascii="Arial" w:hAnsi="Arial" w:cs="Arial"/>
        </w:rPr>
        <w:t xml:space="preserve"> BCCR (2022) </w:t>
      </w:r>
      <w:proofErr w:type="spellStart"/>
      <w:r w:rsidRPr="009E40C7">
        <w:rPr>
          <w:rFonts w:ascii="Arial" w:hAnsi="Arial" w:cs="Arial"/>
        </w:rPr>
        <w:t>Índice</w:t>
      </w:r>
      <w:proofErr w:type="spellEnd"/>
      <w:r w:rsidRPr="009E40C7">
        <w:rPr>
          <w:rFonts w:ascii="Arial" w:hAnsi="Arial" w:cs="Arial"/>
        </w:rPr>
        <w:t xml:space="preserve"> de </w:t>
      </w:r>
      <w:proofErr w:type="spellStart"/>
      <w:r w:rsidRPr="009E40C7">
        <w:rPr>
          <w:rFonts w:ascii="Arial" w:hAnsi="Arial" w:cs="Arial"/>
        </w:rPr>
        <w:t>precios</w:t>
      </w:r>
      <w:proofErr w:type="spellEnd"/>
      <w:r w:rsidRPr="009E40C7">
        <w:rPr>
          <w:rFonts w:ascii="Arial" w:hAnsi="Arial" w:cs="Arial"/>
        </w:rPr>
        <w:t xml:space="preserve"> al </w:t>
      </w:r>
      <w:proofErr w:type="spellStart"/>
      <w:r w:rsidRPr="009E40C7">
        <w:rPr>
          <w:rFonts w:ascii="Arial" w:hAnsi="Arial" w:cs="Arial"/>
        </w:rPr>
        <w:t>consumidor</w:t>
      </w:r>
      <w:proofErr w:type="spellEnd"/>
      <w:r w:rsidRPr="009E40C7">
        <w:rPr>
          <w:rFonts w:ascii="Arial" w:hAnsi="Arial" w:cs="Arial"/>
        </w:rPr>
        <w:t xml:space="preserve"> (IPC) </w:t>
      </w:r>
      <w:proofErr w:type="spellStart"/>
      <w:r w:rsidRPr="009E40C7">
        <w:rPr>
          <w:rFonts w:ascii="Arial" w:hAnsi="Arial" w:cs="Arial"/>
        </w:rPr>
        <w:t>Niveles</w:t>
      </w:r>
      <w:proofErr w:type="spellEnd"/>
      <w:r w:rsidRPr="009E40C7">
        <w:rPr>
          <w:rFonts w:ascii="Arial" w:hAnsi="Arial" w:cs="Arial"/>
        </w:rPr>
        <w:t xml:space="preserve"> y </w:t>
      </w:r>
      <w:proofErr w:type="spellStart"/>
      <w:r w:rsidRPr="009E40C7">
        <w:rPr>
          <w:rFonts w:ascii="Arial" w:hAnsi="Arial" w:cs="Arial"/>
        </w:rPr>
        <w:t>variaciones</w:t>
      </w:r>
      <w:proofErr w:type="spellEnd"/>
      <w:r w:rsidRPr="009E40C7">
        <w:rPr>
          <w:rFonts w:ascii="Arial" w:hAnsi="Arial" w:cs="Arial"/>
        </w:rPr>
        <w:t xml:space="preserve">. </w:t>
      </w:r>
      <w:proofErr w:type="spellStart"/>
      <w:r w:rsidRPr="009E40C7">
        <w:rPr>
          <w:rFonts w:ascii="Arial" w:hAnsi="Arial" w:cs="Arial"/>
        </w:rPr>
        <w:t>Disponible</w:t>
      </w:r>
      <w:proofErr w:type="spellEnd"/>
      <w:r w:rsidRPr="009E40C7">
        <w:rPr>
          <w:rFonts w:ascii="Arial" w:hAnsi="Arial" w:cs="Arial"/>
        </w:rPr>
        <w:t xml:space="preserve"> </w:t>
      </w:r>
      <w:proofErr w:type="spellStart"/>
      <w:r w:rsidRPr="009E40C7">
        <w:rPr>
          <w:rFonts w:ascii="Arial" w:hAnsi="Arial" w:cs="Arial"/>
        </w:rPr>
        <w:t>en</w:t>
      </w:r>
      <w:proofErr w:type="spellEnd"/>
      <w:r w:rsidRPr="009E40C7">
        <w:rPr>
          <w:rFonts w:ascii="Arial" w:hAnsi="Arial" w:cs="Arial"/>
        </w:rPr>
        <w:t xml:space="preserve"> </w:t>
      </w:r>
      <w:hyperlink r:id="rId4" w:history="1">
        <w:r w:rsidRPr="009E40C7">
          <w:rPr>
            <w:rStyle w:val="Hipervnculo"/>
            <w:rFonts w:ascii="Arial" w:hAnsi="Arial" w:cs="Arial"/>
          </w:rPr>
          <w:t>https://gee.bccr.fi.cr/indicadoreseconomicos/Cuadros/frmVerCatCuadro.aspx?idioma=1&amp;CodCuadro=2732</w:t>
        </w:r>
      </w:hyperlink>
      <w:r w:rsidRPr="009E40C7">
        <w:rPr>
          <w:rFonts w:ascii="Arial" w:hAnsi="Arial" w:cs="Arial"/>
        </w:rPr>
        <w:t xml:space="preserve"> (</w:t>
      </w:r>
      <w:proofErr w:type="spellStart"/>
      <w:r w:rsidRPr="009E40C7">
        <w:rPr>
          <w:rFonts w:ascii="Arial" w:hAnsi="Arial" w:cs="Arial"/>
        </w:rPr>
        <w:t>Consultado</w:t>
      </w:r>
      <w:proofErr w:type="spellEnd"/>
      <w:r w:rsidRPr="009E40C7">
        <w:rPr>
          <w:rFonts w:ascii="Arial" w:hAnsi="Arial" w:cs="Arial"/>
        </w:rPr>
        <w:t xml:space="preserve"> 11/08/2022)</w:t>
      </w:r>
    </w:p>
  </w:footnote>
  <w:footnote w:id="8">
    <w:p w:rsidR="0004081D" w:rsidRPr="0084558A" w:rsidRDefault="0004081D">
      <w:pPr>
        <w:pStyle w:val="Textonotapie"/>
        <w:rPr>
          <w:lang w:val="es-ES"/>
        </w:rPr>
      </w:pPr>
      <w:r>
        <w:rPr>
          <w:rStyle w:val="Refdenotaalpie"/>
        </w:rPr>
        <w:footnoteRef/>
      </w:r>
      <w:r>
        <w:t xml:space="preserve"> </w:t>
      </w:r>
      <w:r w:rsidRPr="0084558A">
        <w:t>https://www.nacion.com/economia/consumo/precios-en-la-educacion-basica-privada-crecen-de-forma-mas-acelerada-que-la-inflacion/CP2MTKTFVNFJLDRPU4DWK7DRVQ/story/</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081D" w:rsidRPr="00F0580B" w:rsidRDefault="0004081D" w:rsidP="00F0580B">
    <w:pPr>
      <w:pStyle w:val="Encabezado"/>
      <w:pBdr>
        <w:bottom w:val="single" w:sz="4" w:space="1" w:color="auto"/>
      </w:pBdr>
      <w:tabs>
        <w:tab w:val="clear" w:pos="4252"/>
        <w:tab w:val="clear" w:pos="8504"/>
      </w:tabs>
    </w:pPr>
    <w:r w:rsidRPr="00F0580B">
      <w:rPr>
        <w:rFonts w:ascii="Arial" w:hAnsi="Arial" w:cs="Arial"/>
        <w:sz w:val="20"/>
      </w:rPr>
      <w:t>Expediente N.°</w:t>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tab/>
    </w:r>
    <w:r w:rsidRPr="00F0580B">
      <w:rPr>
        <w:rFonts w:ascii="Arial" w:hAnsi="Arial" w:cs="Arial"/>
        <w:sz w:val="20"/>
      </w:rPr>
      <w:fldChar w:fldCharType="begin"/>
    </w:r>
    <w:r w:rsidRPr="00F0580B">
      <w:rPr>
        <w:rFonts w:ascii="Arial" w:hAnsi="Arial" w:cs="Arial"/>
        <w:sz w:val="20"/>
      </w:rPr>
      <w:instrText xml:space="preserve"> PAGE  \* MERGEFORMAT </w:instrText>
    </w:r>
    <w:r w:rsidRPr="00F0580B">
      <w:rPr>
        <w:rFonts w:ascii="Arial" w:hAnsi="Arial" w:cs="Arial"/>
        <w:sz w:val="20"/>
      </w:rPr>
      <w:fldChar w:fldCharType="separate"/>
    </w:r>
    <w:r w:rsidR="002502B2">
      <w:rPr>
        <w:rFonts w:ascii="Arial" w:hAnsi="Arial" w:cs="Arial"/>
        <w:noProof/>
        <w:sz w:val="20"/>
      </w:rPr>
      <w:t>8</w:t>
    </w:r>
    <w:r w:rsidRPr="00F0580B">
      <w:rPr>
        <w:rFonts w:ascii="Arial" w:hAnsi="Arial" w:cs="Arial"/>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3672" w:hanging="432"/>
      </w:pPr>
    </w:lvl>
    <w:lvl w:ilvl="1">
      <w:start w:val="1"/>
      <w:numFmt w:val="none"/>
      <w:pStyle w:val="Ttulo2"/>
      <w:suff w:val="nothing"/>
      <w:lvlText w:val=""/>
      <w:lvlJc w:val="left"/>
      <w:pPr>
        <w:tabs>
          <w:tab w:val="num" w:pos="0"/>
        </w:tabs>
        <w:ind w:left="3816" w:hanging="576"/>
      </w:pPr>
    </w:lvl>
    <w:lvl w:ilvl="2">
      <w:start w:val="1"/>
      <w:numFmt w:val="none"/>
      <w:pStyle w:val="Ttulo3"/>
      <w:suff w:val="nothing"/>
      <w:lvlText w:val=""/>
      <w:lvlJc w:val="left"/>
      <w:pPr>
        <w:tabs>
          <w:tab w:val="num" w:pos="0"/>
        </w:tabs>
        <w:ind w:left="3960" w:hanging="720"/>
      </w:pPr>
    </w:lvl>
    <w:lvl w:ilvl="3">
      <w:start w:val="1"/>
      <w:numFmt w:val="none"/>
      <w:suff w:val="nothing"/>
      <w:lvlText w:val=""/>
      <w:lvlJc w:val="left"/>
      <w:pPr>
        <w:tabs>
          <w:tab w:val="num" w:pos="0"/>
        </w:tabs>
        <w:ind w:left="4104" w:hanging="864"/>
      </w:pPr>
    </w:lvl>
    <w:lvl w:ilvl="4">
      <w:start w:val="1"/>
      <w:numFmt w:val="none"/>
      <w:suff w:val="nothing"/>
      <w:lvlText w:val=""/>
      <w:lvlJc w:val="left"/>
      <w:pPr>
        <w:tabs>
          <w:tab w:val="num" w:pos="0"/>
        </w:tabs>
        <w:ind w:left="4248" w:hanging="1008"/>
      </w:pPr>
    </w:lvl>
    <w:lvl w:ilvl="5">
      <w:start w:val="1"/>
      <w:numFmt w:val="none"/>
      <w:pStyle w:val="Ttulo6"/>
      <w:suff w:val="nothing"/>
      <w:lvlText w:val=""/>
      <w:lvlJc w:val="left"/>
      <w:pPr>
        <w:tabs>
          <w:tab w:val="num" w:pos="0"/>
        </w:tabs>
        <w:ind w:left="4392" w:hanging="1152"/>
      </w:pPr>
    </w:lvl>
    <w:lvl w:ilvl="6">
      <w:start w:val="1"/>
      <w:numFmt w:val="none"/>
      <w:suff w:val="nothing"/>
      <w:lvlText w:val=""/>
      <w:lvlJc w:val="left"/>
      <w:pPr>
        <w:tabs>
          <w:tab w:val="num" w:pos="0"/>
        </w:tabs>
        <w:ind w:left="4536" w:hanging="1296"/>
      </w:pPr>
    </w:lvl>
    <w:lvl w:ilvl="7">
      <w:start w:val="1"/>
      <w:numFmt w:val="none"/>
      <w:suff w:val="nothing"/>
      <w:lvlText w:val=""/>
      <w:lvlJc w:val="left"/>
      <w:pPr>
        <w:tabs>
          <w:tab w:val="num" w:pos="0"/>
        </w:tabs>
        <w:ind w:left="4680" w:hanging="1440"/>
      </w:pPr>
    </w:lvl>
    <w:lvl w:ilvl="8">
      <w:start w:val="1"/>
      <w:numFmt w:val="none"/>
      <w:suff w:val="nothing"/>
      <w:lvlText w:val=""/>
      <w:lvlJc w:val="left"/>
      <w:pPr>
        <w:tabs>
          <w:tab w:val="num" w:pos="0"/>
        </w:tabs>
        <w:ind w:left="4824" w:hanging="1584"/>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rPr>
        <w:rFonts w:ascii="Verdana" w:eastAsia="TimesNewRomanPSMT" w:hAnsi="Verdana" w:cs="Verdana"/>
        <w:spacing w:val="-3"/>
        <w:sz w:val="22"/>
        <w:szCs w:val="22"/>
        <w:lang w:val="es-C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4068214B"/>
    <w:multiLevelType w:val="hybridMultilevel"/>
    <w:tmpl w:val="F1362988"/>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640C7D8A"/>
    <w:multiLevelType w:val="hybridMultilevel"/>
    <w:tmpl w:val="494C3E76"/>
    <w:lvl w:ilvl="0" w:tplc="BC548E2A">
      <w:start w:val="1"/>
      <w:numFmt w:val="upp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72C"/>
    <w:rsid w:val="000062F6"/>
    <w:rsid w:val="0004081D"/>
    <w:rsid w:val="00045394"/>
    <w:rsid w:val="000476B9"/>
    <w:rsid w:val="0005062A"/>
    <w:rsid w:val="000A40A9"/>
    <w:rsid w:val="000D0656"/>
    <w:rsid w:val="000E072C"/>
    <w:rsid w:val="000F6D13"/>
    <w:rsid w:val="001159F5"/>
    <w:rsid w:val="001250FB"/>
    <w:rsid w:val="001267E0"/>
    <w:rsid w:val="00135C5E"/>
    <w:rsid w:val="001414A2"/>
    <w:rsid w:val="0016577C"/>
    <w:rsid w:val="00171E05"/>
    <w:rsid w:val="00183E8F"/>
    <w:rsid w:val="00184B19"/>
    <w:rsid w:val="001A4FC0"/>
    <w:rsid w:val="001C6289"/>
    <w:rsid w:val="001E2C66"/>
    <w:rsid w:val="001E36EE"/>
    <w:rsid w:val="002456A6"/>
    <w:rsid w:val="002502B2"/>
    <w:rsid w:val="00265FC5"/>
    <w:rsid w:val="0027478D"/>
    <w:rsid w:val="00284D47"/>
    <w:rsid w:val="002906C2"/>
    <w:rsid w:val="00294F96"/>
    <w:rsid w:val="002A11C3"/>
    <w:rsid w:val="002D7ECC"/>
    <w:rsid w:val="002E187A"/>
    <w:rsid w:val="002F3826"/>
    <w:rsid w:val="00311E1A"/>
    <w:rsid w:val="00327A13"/>
    <w:rsid w:val="0033407E"/>
    <w:rsid w:val="00342877"/>
    <w:rsid w:val="0034694F"/>
    <w:rsid w:val="00363E49"/>
    <w:rsid w:val="00391DAB"/>
    <w:rsid w:val="00397DBD"/>
    <w:rsid w:val="003A5E89"/>
    <w:rsid w:val="003A7EEF"/>
    <w:rsid w:val="003E19B8"/>
    <w:rsid w:val="003E6549"/>
    <w:rsid w:val="004215CF"/>
    <w:rsid w:val="004250E2"/>
    <w:rsid w:val="00427FC1"/>
    <w:rsid w:val="00443A2D"/>
    <w:rsid w:val="00457BD7"/>
    <w:rsid w:val="00460BFF"/>
    <w:rsid w:val="00464219"/>
    <w:rsid w:val="00473147"/>
    <w:rsid w:val="00485343"/>
    <w:rsid w:val="00486CBF"/>
    <w:rsid w:val="004A1414"/>
    <w:rsid w:val="004A7089"/>
    <w:rsid w:val="004B3F0D"/>
    <w:rsid w:val="004E7435"/>
    <w:rsid w:val="004F56D6"/>
    <w:rsid w:val="004F5939"/>
    <w:rsid w:val="005018B2"/>
    <w:rsid w:val="00533FE9"/>
    <w:rsid w:val="00555822"/>
    <w:rsid w:val="00576863"/>
    <w:rsid w:val="005D132F"/>
    <w:rsid w:val="005E271E"/>
    <w:rsid w:val="006016EF"/>
    <w:rsid w:val="00614532"/>
    <w:rsid w:val="00647AFB"/>
    <w:rsid w:val="006633A7"/>
    <w:rsid w:val="00690138"/>
    <w:rsid w:val="006C30A1"/>
    <w:rsid w:val="006E255B"/>
    <w:rsid w:val="006E492D"/>
    <w:rsid w:val="0076299A"/>
    <w:rsid w:val="007A1E79"/>
    <w:rsid w:val="007A6998"/>
    <w:rsid w:val="007B70BB"/>
    <w:rsid w:val="007B7570"/>
    <w:rsid w:val="007C0004"/>
    <w:rsid w:val="007C4031"/>
    <w:rsid w:val="007E3A1E"/>
    <w:rsid w:val="007F15FC"/>
    <w:rsid w:val="008267AC"/>
    <w:rsid w:val="0084558A"/>
    <w:rsid w:val="0086415D"/>
    <w:rsid w:val="00866104"/>
    <w:rsid w:val="0087716E"/>
    <w:rsid w:val="008B228D"/>
    <w:rsid w:val="008F46A0"/>
    <w:rsid w:val="00903260"/>
    <w:rsid w:val="0091062D"/>
    <w:rsid w:val="00920D52"/>
    <w:rsid w:val="00932C8D"/>
    <w:rsid w:val="00933AF3"/>
    <w:rsid w:val="00937A9F"/>
    <w:rsid w:val="00956136"/>
    <w:rsid w:val="009B5C46"/>
    <w:rsid w:val="009C7221"/>
    <w:rsid w:val="009E3F8D"/>
    <w:rsid w:val="009E40C7"/>
    <w:rsid w:val="009F6A36"/>
    <w:rsid w:val="00A0310F"/>
    <w:rsid w:val="00A14896"/>
    <w:rsid w:val="00A15139"/>
    <w:rsid w:val="00A15CA5"/>
    <w:rsid w:val="00A35877"/>
    <w:rsid w:val="00A46C34"/>
    <w:rsid w:val="00A56832"/>
    <w:rsid w:val="00A87A19"/>
    <w:rsid w:val="00AB705C"/>
    <w:rsid w:val="00AC39A1"/>
    <w:rsid w:val="00AF7526"/>
    <w:rsid w:val="00B12885"/>
    <w:rsid w:val="00B46C01"/>
    <w:rsid w:val="00B83F72"/>
    <w:rsid w:val="00BB1719"/>
    <w:rsid w:val="00BC1C5E"/>
    <w:rsid w:val="00BD3333"/>
    <w:rsid w:val="00BD6011"/>
    <w:rsid w:val="00BD6102"/>
    <w:rsid w:val="00BE459D"/>
    <w:rsid w:val="00BF3221"/>
    <w:rsid w:val="00C02915"/>
    <w:rsid w:val="00C1131B"/>
    <w:rsid w:val="00C15D52"/>
    <w:rsid w:val="00C64725"/>
    <w:rsid w:val="00CB2F14"/>
    <w:rsid w:val="00CB60CD"/>
    <w:rsid w:val="00CC2B01"/>
    <w:rsid w:val="00CD3628"/>
    <w:rsid w:val="00CD6BAC"/>
    <w:rsid w:val="00CE1D98"/>
    <w:rsid w:val="00D31895"/>
    <w:rsid w:val="00D82257"/>
    <w:rsid w:val="00D83356"/>
    <w:rsid w:val="00D84BCC"/>
    <w:rsid w:val="00D84EDB"/>
    <w:rsid w:val="00D852AA"/>
    <w:rsid w:val="00D91D4F"/>
    <w:rsid w:val="00DA03A9"/>
    <w:rsid w:val="00DA63E0"/>
    <w:rsid w:val="00DC48B8"/>
    <w:rsid w:val="00DD22B4"/>
    <w:rsid w:val="00DF15E8"/>
    <w:rsid w:val="00DF5194"/>
    <w:rsid w:val="00E01D09"/>
    <w:rsid w:val="00E05892"/>
    <w:rsid w:val="00E21F6B"/>
    <w:rsid w:val="00E271DD"/>
    <w:rsid w:val="00E41F40"/>
    <w:rsid w:val="00E522B4"/>
    <w:rsid w:val="00E54A88"/>
    <w:rsid w:val="00E66A5B"/>
    <w:rsid w:val="00E7016D"/>
    <w:rsid w:val="00E90B11"/>
    <w:rsid w:val="00E93DA2"/>
    <w:rsid w:val="00EA3160"/>
    <w:rsid w:val="00ED2DF8"/>
    <w:rsid w:val="00ED5A15"/>
    <w:rsid w:val="00EE7C6F"/>
    <w:rsid w:val="00F0580B"/>
    <w:rsid w:val="00F3265E"/>
    <w:rsid w:val="00F42C50"/>
    <w:rsid w:val="00F56F35"/>
    <w:rsid w:val="00F66012"/>
    <w:rsid w:val="00FF0A69"/>
    <w:rsid w:val="00FF781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EB86BFB3-4D94-474C-B40A-35243A667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R" w:eastAsia="es-C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sz w:val="24"/>
      <w:szCs w:val="24"/>
      <w:lang w:val="es-ES" w:eastAsia="ar-SA"/>
    </w:rPr>
  </w:style>
  <w:style w:type="paragraph" w:styleId="Ttulo1">
    <w:name w:val="heading 1"/>
    <w:basedOn w:val="Normal"/>
    <w:next w:val="Normal"/>
    <w:qFormat/>
    <w:pPr>
      <w:keepNext/>
      <w:numPr>
        <w:numId w:val="1"/>
      </w:numPr>
      <w:outlineLvl w:val="0"/>
    </w:pPr>
    <w:rPr>
      <w:spacing w:val="5"/>
      <w:kern w:val="1"/>
      <w:sz w:val="28"/>
      <w:szCs w:val="36"/>
      <w:lang w:val="es-MX"/>
    </w:rPr>
  </w:style>
  <w:style w:type="paragraph" w:styleId="Ttulo2">
    <w:name w:val="heading 2"/>
    <w:basedOn w:val="Normal"/>
    <w:next w:val="Normal"/>
    <w:qFormat/>
    <w:pPr>
      <w:keepNext/>
      <w:numPr>
        <w:ilvl w:val="1"/>
        <w:numId w:val="1"/>
      </w:numPr>
      <w:spacing w:line="480" w:lineRule="auto"/>
      <w:jc w:val="center"/>
      <w:outlineLvl w:val="1"/>
    </w:pPr>
    <w:rPr>
      <w:rFonts w:ascii="Arial" w:hAnsi="Arial" w:cs="Arial"/>
      <w:b/>
      <w:lang w:val="es-CR"/>
    </w:rPr>
  </w:style>
  <w:style w:type="paragraph" w:styleId="Ttulo3">
    <w:name w:val="heading 3"/>
    <w:basedOn w:val="Normal"/>
    <w:next w:val="Normal"/>
    <w:qFormat/>
    <w:pPr>
      <w:keepNext/>
      <w:numPr>
        <w:ilvl w:val="2"/>
        <w:numId w:val="1"/>
      </w:numPr>
      <w:jc w:val="center"/>
      <w:outlineLvl w:val="2"/>
    </w:pPr>
    <w:rPr>
      <w:spacing w:val="5"/>
      <w:kern w:val="1"/>
      <w:sz w:val="28"/>
      <w:szCs w:val="36"/>
      <w:lang w:val="es-MX"/>
    </w:rPr>
  </w:style>
  <w:style w:type="paragraph" w:styleId="Ttulo6">
    <w:name w:val="heading 6"/>
    <w:basedOn w:val="Normal"/>
    <w:next w:val="Normal"/>
    <w:qFormat/>
    <w:pPr>
      <w:numPr>
        <w:ilvl w:val="5"/>
        <w:numId w:val="1"/>
      </w:numPr>
      <w:spacing w:before="240" w:after="60"/>
      <w:outlineLvl w:val="5"/>
    </w:pPr>
    <w:rPr>
      <w:rFonts w:ascii="Calibri" w:hAnsi="Calibri"/>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Verdana" w:eastAsia="TimesNewRomanPSMT" w:hAnsi="Verdana" w:cs="Verdana"/>
      <w:spacing w:val="-3"/>
      <w:sz w:val="22"/>
      <w:szCs w:val="22"/>
      <w:lang w:val="es-CR"/>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Fuentedeprrafopredeter5">
    <w:name w:val="Fuente de párrafo predeter.5"/>
  </w:style>
  <w:style w:type="character" w:customStyle="1" w:styleId="Absatz-Standardschriftart">
    <w:name w:val="Absatz-Standardschriftart"/>
  </w:style>
  <w:style w:type="character" w:customStyle="1" w:styleId="WW-Absatz-Standardschriftart">
    <w:name w:val="WW-Absatz-Standardschriftart"/>
  </w:style>
  <w:style w:type="character" w:customStyle="1" w:styleId="Fuentedeprrafopredeter4">
    <w:name w:val="Fuente de párrafo predeter.4"/>
  </w:style>
  <w:style w:type="character" w:customStyle="1" w:styleId="WW-Absatz-Standardschriftart1">
    <w:name w:val="WW-Absatz-Standardschriftart1"/>
  </w:style>
  <w:style w:type="character" w:customStyle="1" w:styleId="Fuentedeprrafopredeter3">
    <w:name w:val="Fuente de párrafo predeter.3"/>
  </w:style>
  <w:style w:type="character" w:customStyle="1" w:styleId="Fuentedeprrafopredeter2">
    <w:name w:val="Fuente de párrafo predeter.2"/>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8Num3z0">
    <w:name w:val="WW8Num3z0"/>
    <w:rPr>
      <w:b/>
    </w:rPr>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8Num5z0">
    <w:name w:val="WW8Num5z0"/>
    <w:rPr>
      <w:b/>
    </w:rPr>
  </w:style>
  <w:style w:type="character" w:customStyle="1" w:styleId="WW8Num7z0">
    <w:name w:val="WW8Num7z0"/>
    <w:rPr>
      <w:b/>
    </w:rPr>
  </w:style>
  <w:style w:type="character" w:customStyle="1" w:styleId="WW8Num11z0">
    <w:name w:val="WW8Num11z0"/>
    <w:rPr>
      <w:b/>
    </w:rPr>
  </w:style>
  <w:style w:type="character" w:customStyle="1" w:styleId="WW8Num13z0">
    <w:name w:val="WW8Num13z0"/>
    <w:rPr>
      <w:b/>
    </w:rPr>
  </w:style>
  <w:style w:type="character" w:customStyle="1" w:styleId="Fuentedeprrafopredeter1">
    <w:name w:val="Fuente de párrafo predeter.1"/>
  </w:style>
  <w:style w:type="character" w:customStyle="1" w:styleId="Caracteresdenotaalpie">
    <w:name w:val="Caracteres de nota al pie"/>
    <w:rPr>
      <w:vertAlign w:val="superscript"/>
    </w:rPr>
  </w:style>
  <w:style w:type="character" w:customStyle="1" w:styleId="spelle">
    <w:name w:val="spelle"/>
    <w:basedOn w:val="Fuentedeprrafopredeter1"/>
  </w:style>
  <w:style w:type="character" w:customStyle="1" w:styleId="grame">
    <w:name w:val="grame"/>
    <w:basedOn w:val="Fuentedeprrafopredeter1"/>
  </w:style>
  <w:style w:type="character" w:styleId="Hipervnculo">
    <w:name w:val="Hyperlink"/>
    <w:rPr>
      <w:color w:val="0000FF"/>
      <w:u w:val="single"/>
    </w:rPr>
  </w:style>
  <w:style w:type="character" w:styleId="Nmerodepgina">
    <w:name w:val="page number"/>
    <w:basedOn w:val="Fuentedeprrafopredeter1"/>
  </w:style>
  <w:style w:type="character" w:customStyle="1" w:styleId="EncabezadoCar">
    <w:name w:val="Encabezado Car"/>
    <w:rPr>
      <w:sz w:val="24"/>
      <w:szCs w:val="24"/>
    </w:rPr>
  </w:style>
  <w:style w:type="character" w:customStyle="1" w:styleId="Textoindependiente2Car">
    <w:name w:val="Texto independiente 2 Car"/>
    <w:rPr>
      <w:sz w:val="24"/>
      <w:szCs w:val="24"/>
      <w:lang w:val="es-ES"/>
    </w:rPr>
  </w:style>
  <w:style w:type="character" w:customStyle="1" w:styleId="TextonotapieCar">
    <w:name w:val="Texto nota pie Car"/>
    <w:rPr>
      <w:rFonts w:ascii="Calibri" w:eastAsia="Calibri" w:hAnsi="Calibri" w:cs="Calibri"/>
      <w:lang w:val="en-US"/>
    </w:rPr>
  </w:style>
  <w:style w:type="character" w:customStyle="1" w:styleId="Ttulo6Car">
    <w:name w:val="Título 6 Car"/>
    <w:rPr>
      <w:rFonts w:ascii="Calibri" w:eastAsia="Times New Roman" w:hAnsi="Calibri" w:cs="Times New Roman"/>
      <w:b/>
      <w:bCs/>
      <w:sz w:val="22"/>
      <w:szCs w:val="22"/>
      <w:lang w:val="es-ES"/>
    </w:rPr>
  </w:style>
  <w:style w:type="character" w:styleId="Textoennegrita">
    <w:name w:val="Strong"/>
    <w:uiPriority w:val="22"/>
    <w:qFormat/>
    <w:rPr>
      <w:b/>
      <w:bCs/>
    </w:rPr>
  </w:style>
  <w:style w:type="character" w:styleId="Hipervnculovisitado">
    <w:name w:val="FollowedHyperlink"/>
    <w:rPr>
      <w:color w:val="800080"/>
      <w:u w:val="single"/>
    </w:rPr>
  </w:style>
  <w:style w:type="character" w:customStyle="1" w:styleId="Smbolosdenumeracin">
    <w:name w:val="Símbolos de numeración"/>
  </w:style>
  <w:style w:type="paragraph" w:customStyle="1" w:styleId="Encabezado5">
    <w:name w:val="Encabezado5"/>
    <w:basedOn w:val="Normal"/>
    <w:next w:val="Textoindependiente"/>
    <w:pPr>
      <w:keepNext/>
      <w:spacing w:before="240" w:after="120"/>
    </w:pPr>
    <w:rPr>
      <w:rFonts w:ascii="Arial" w:eastAsia="Microsoft YaHei" w:hAnsi="Arial" w:cs="Mangal"/>
      <w:sz w:val="28"/>
      <w:szCs w:val="28"/>
    </w:rPr>
  </w:style>
  <w:style w:type="paragraph" w:styleId="Textoindependiente">
    <w:name w:val="Body Text"/>
    <w:basedOn w:val="Normal"/>
    <w:pPr>
      <w:spacing w:line="360" w:lineRule="auto"/>
      <w:jc w:val="both"/>
    </w:pPr>
    <w:rPr>
      <w:rFonts w:ascii="Arial" w:hAnsi="Arial" w:cs="Arial"/>
      <w:lang w:val="es-ES_tradnl"/>
    </w:rPr>
  </w:style>
  <w:style w:type="paragraph" w:styleId="Lista">
    <w:name w:val="List"/>
    <w:basedOn w:val="Textoindependiente"/>
    <w:rPr>
      <w:rFonts w:cs="Mangal"/>
    </w:rPr>
  </w:style>
  <w:style w:type="paragraph" w:customStyle="1" w:styleId="Etiqueta">
    <w:name w:val="Etiqueta"/>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do4">
    <w:name w:val="Encabezado4"/>
    <w:basedOn w:val="Normal"/>
    <w:next w:val="Textoindependiente"/>
    <w:pPr>
      <w:keepNext/>
      <w:spacing w:before="240" w:after="120"/>
    </w:pPr>
    <w:rPr>
      <w:rFonts w:ascii="Arial" w:eastAsia="Microsoft YaHei" w:hAnsi="Arial" w:cs="Mangal"/>
      <w:sz w:val="28"/>
      <w:szCs w:val="28"/>
    </w:rPr>
  </w:style>
  <w:style w:type="paragraph" w:customStyle="1" w:styleId="Encabezado3">
    <w:name w:val="Encabezado3"/>
    <w:basedOn w:val="Normal"/>
    <w:next w:val="Textoindependiente"/>
    <w:pPr>
      <w:keepNext/>
      <w:spacing w:before="240" w:after="120"/>
    </w:pPr>
    <w:rPr>
      <w:rFonts w:ascii="Arial" w:eastAsia="Microsoft YaHei" w:hAnsi="Arial" w:cs="Mangal"/>
      <w:sz w:val="28"/>
      <w:szCs w:val="28"/>
    </w:rPr>
  </w:style>
  <w:style w:type="paragraph" w:customStyle="1" w:styleId="Encabezado2">
    <w:name w:val="Encabezado2"/>
    <w:basedOn w:val="Normal"/>
    <w:next w:val="Textoindependiente"/>
    <w:pPr>
      <w:keepNext/>
      <w:spacing w:before="240" w:after="120"/>
    </w:pPr>
    <w:rPr>
      <w:rFonts w:ascii="Arial" w:eastAsia="Microsoft YaHei" w:hAnsi="Arial" w:cs="Mangal"/>
      <w:sz w:val="28"/>
      <w:szCs w:val="28"/>
    </w:rPr>
  </w:style>
  <w:style w:type="paragraph" w:customStyle="1" w:styleId="Encabezado1">
    <w:name w:val="Encabezado1"/>
    <w:basedOn w:val="Normal"/>
    <w:next w:val="Textoindependiente"/>
    <w:pPr>
      <w:keepNext/>
      <w:spacing w:before="240" w:after="120"/>
    </w:pPr>
    <w:rPr>
      <w:rFonts w:ascii="Arial" w:eastAsia="Microsoft YaHei" w:hAnsi="Arial" w:cs="Mangal"/>
      <w:sz w:val="28"/>
      <w:szCs w:val="28"/>
    </w:rPr>
  </w:style>
  <w:style w:type="paragraph" w:customStyle="1" w:styleId="noparagraphstyle">
    <w:name w:val="noparagraphstyle"/>
    <w:basedOn w:val="Normal"/>
    <w:pPr>
      <w:spacing w:before="280" w:after="280"/>
    </w:pPr>
  </w:style>
  <w:style w:type="paragraph" w:styleId="Ttulo">
    <w:name w:val="Title"/>
    <w:basedOn w:val="Normal"/>
    <w:next w:val="Normal"/>
    <w:qFormat/>
    <w:pPr>
      <w:pBdr>
        <w:bottom w:val="single" w:sz="8" w:space="4" w:color="808080"/>
      </w:pBdr>
      <w:spacing w:after="300"/>
    </w:pPr>
    <w:rPr>
      <w:rFonts w:ascii="Cambria" w:eastAsia="Calibri" w:hAnsi="Cambria" w:cs="Cambria"/>
      <w:color w:val="17365D"/>
      <w:spacing w:val="5"/>
      <w:kern w:val="1"/>
      <w:sz w:val="52"/>
      <w:szCs w:val="52"/>
      <w:lang w:val="es-CR"/>
    </w:rPr>
  </w:style>
  <w:style w:type="paragraph" w:styleId="Subttulo">
    <w:name w:val="Subtitle"/>
    <w:basedOn w:val="Encabezado1"/>
    <w:next w:val="Textoindependiente"/>
    <w:qFormat/>
    <w:pPr>
      <w:jc w:val="center"/>
    </w:pPr>
    <w:rPr>
      <w:i/>
      <w:iCs/>
    </w:rPr>
  </w:style>
  <w:style w:type="paragraph" w:customStyle="1" w:styleId="Textodebloque1">
    <w:name w:val="Texto de bloque1"/>
    <w:basedOn w:val="Normal"/>
    <w:pPr>
      <w:spacing w:line="480" w:lineRule="auto"/>
      <w:ind w:left="1080" w:right="1080"/>
      <w:jc w:val="both"/>
    </w:pPr>
    <w:rPr>
      <w:rFonts w:ascii="Arial" w:hAnsi="Arial" w:cs="Arial"/>
      <w:i/>
      <w:iCs/>
      <w:lang w:val="es-ES_tradnl"/>
    </w:rPr>
  </w:style>
  <w:style w:type="paragraph" w:styleId="Sangradetextonormal">
    <w:name w:val="Body Text Indent"/>
    <w:basedOn w:val="Normal"/>
    <w:pPr>
      <w:autoSpaceDE w:val="0"/>
      <w:spacing w:line="480" w:lineRule="auto"/>
      <w:ind w:firstLine="720"/>
      <w:jc w:val="both"/>
    </w:pPr>
    <w:rPr>
      <w:rFonts w:ascii="Arial" w:hAnsi="Arial" w:cs="Arial"/>
      <w:lang w:val="es-ES_tradnl"/>
    </w:rPr>
  </w:style>
  <w:style w:type="paragraph" w:styleId="Sinespaciado">
    <w:name w:val="No Spacing"/>
    <w:uiPriority w:val="1"/>
    <w:qFormat/>
    <w:pPr>
      <w:suppressAutoHyphens/>
    </w:pPr>
    <w:rPr>
      <w:rFonts w:ascii="Calibri" w:eastAsia="Calibri" w:hAnsi="Calibri" w:cs="Calibri"/>
      <w:sz w:val="22"/>
      <w:szCs w:val="22"/>
      <w:lang w:eastAsia="ar-SA"/>
    </w:rPr>
  </w:style>
  <w:style w:type="paragraph" w:styleId="NormalWeb">
    <w:name w:val="Normal (Web)"/>
    <w:basedOn w:val="Normal"/>
    <w:pPr>
      <w:spacing w:before="280" w:after="280"/>
    </w:pPr>
  </w:style>
  <w:style w:type="paragraph" w:customStyle="1" w:styleId="Prrafodelista1">
    <w:name w:val="Párrafo de lista1"/>
    <w:basedOn w:val="Normal"/>
    <w:pPr>
      <w:ind w:left="708"/>
    </w:pPr>
    <w:rPr>
      <w:lang w:val="en-US"/>
    </w:rPr>
  </w:style>
  <w:style w:type="paragraph" w:styleId="Prrafodelista">
    <w:name w:val="List Paragraph"/>
    <w:basedOn w:val="Normal"/>
    <w:qFormat/>
    <w:pPr>
      <w:ind w:left="708"/>
    </w:pPr>
    <w:rPr>
      <w:lang w:val="en-US"/>
    </w:rPr>
  </w:style>
  <w:style w:type="paragraph" w:customStyle="1" w:styleId="Sangra2detindependiente1">
    <w:name w:val="Sangría 2 de t. independiente1"/>
    <w:basedOn w:val="Normal"/>
    <w:pPr>
      <w:spacing w:line="480" w:lineRule="auto"/>
      <w:ind w:left="1080" w:hanging="360"/>
      <w:jc w:val="both"/>
    </w:pPr>
    <w:rPr>
      <w:rFonts w:ascii="Arial" w:hAnsi="Arial" w:cs="Arial"/>
      <w:bCs/>
      <w:lang w:val="es-CR"/>
    </w:rPr>
  </w:style>
  <w:style w:type="paragraph" w:styleId="Textonotapie">
    <w:name w:val="footnote text"/>
    <w:basedOn w:val="Normal"/>
    <w:rPr>
      <w:rFonts w:ascii="Calibri" w:eastAsia="Calibri" w:hAnsi="Calibri" w:cs="Calibri"/>
      <w:sz w:val="20"/>
      <w:szCs w:val="20"/>
      <w:lang w:val="en-US"/>
    </w:rPr>
  </w:style>
  <w:style w:type="paragraph" w:styleId="Piedepgina">
    <w:name w:val="footer"/>
    <w:basedOn w:val="Normal"/>
    <w:link w:val="PiedepginaCar"/>
    <w:uiPriority w:val="99"/>
    <w:pPr>
      <w:tabs>
        <w:tab w:val="center" w:pos="4252"/>
        <w:tab w:val="right" w:pos="8504"/>
      </w:tabs>
    </w:pPr>
    <w:rPr>
      <w:lang w:val="en-US"/>
    </w:rPr>
  </w:style>
  <w:style w:type="paragraph" w:styleId="Encabezado">
    <w:name w:val="header"/>
    <w:basedOn w:val="Normal"/>
    <w:pPr>
      <w:tabs>
        <w:tab w:val="center" w:pos="4252"/>
        <w:tab w:val="right" w:pos="8504"/>
      </w:tabs>
    </w:pPr>
  </w:style>
  <w:style w:type="paragraph" w:customStyle="1" w:styleId="Textoindependiente21">
    <w:name w:val="Texto independiente 21"/>
    <w:basedOn w:val="Normal"/>
    <w:pPr>
      <w:spacing w:after="120" w:line="480" w:lineRule="auto"/>
    </w:pPr>
  </w:style>
  <w:style w:type="paragraph" w:customStyle="1" w:styleId="Contenidodelatabla">
    <w:name w:val="Contenido de la tabla"/>
    <w:basedOn w:val="Normal"/>
    <w:pPr>
      <w:suppressLineNumbers/>
    </w:p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style>
  <w:style w:type="character" w:customStyle="1" w:styleId="PiedepginaCar">
    <w:name w:val="Pie de página Car"/>
    <w:link w:val="Piedepgina"/>
    <w:uiPriority w:val="99"/>
    <w:rsid w:val="00903260"/>
    <w:rPr>
      <w:sz w:val="24"/>
      <w:szCs w:val="24"/>
      <w:lang w:val="en-US" w:eastAsia="ar-SA"/>
    </w:rPr>
  </w:style>
  <w:style w:type="table" w:styleId="Tablaconcuadrcula">
    <w:name w:val="Table Grid"/>
    <w:basedOn w:val="Tablanormal"/>
    <w:rsid w:val="00BD3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uiPriority w:val="99"/>
    <w:semiHidden/>
    <w:unhideWhenUsed/>
    <w:rsid w:val="001414A2"/>
    <w:rPr>
      <w:vertAlign w:val="superscript"/>
    </w:rPr>
  </w:style>
  <w:style w:type="paragraph" w:styleId="Textodeglobo">
    <w:name w:val="Balloon Text"/>
    <w:basedOn w:val="Normal"/>
    <w:link w:val="TextodegloboCar"/>
    <w:uiPriority w:val="99"/>
    <w:semiHidden/>
    <w:unhideWhenUsed/>
    <w:rsid w:val="00F0580B"/>
    <w:rPr>
      <w:rFonts w:ascii="Segoe UI" w:hAnsi="Segoe UI" w:cs="Segoe UI"/>
      <w:sz w:val="18"/>
      <w:szCs w:val="18"/>
    </w:rPr>
  </w:style>
  <w:style w:type="character" w:customStyle="1" w:styleId="TextodegloboCar">
    <w:name w:val="Texto de globo Car"/>
    <w:link w:val="Textodeglobo"/>
    <w:uiPriority w:val="99"/>
    <w:semiHidden/>
    <w:rsid w:val="00F0580B"/>
    <w:rPr>
      <w:rFonts w:ascii="Segoe UI" w:hAnsi="Segoe UI" w:cs="Segoe UI"/>
      <w:sz w:val="18"/>
      <w:szCs w:val="18"/>
      <w:lang w:val="es-ES" w:eastAsia="ar-SA"/>
    </w:rPr>
  </w:style>
  <w:style w:type="character" w:styleId="nfasis">
    <w:name w:val="Emphasis"/>
    <w:basedOn w:val="Fuentedeprrafopredeter"/>
    <w:uiPriority w:val="20"/>
    <w:qFormat/>
    <w:rsid w:val="001E2C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0653">
      <w:bodyDiv w:val="1"/>
      <w:marLeft w:val="0"/>
      <w:marRight w:val="0"/>
      <w:marTop w:val="0"/>
      <w:marBottom w:val="0"/>
      <w:divBdr>
        <w:top w:val="none" w:sz="0" w:space="0" w:color="auto"/>
        <w:left w:val="none" w:sz="0" w:space="0" w:color="auto"/>
        <w:bottom w:val="none" w:sz="0" w:space="0" w:color="auto"/>
        <w:right w:val="none" w:sz="0" w:space="0" w:color="auto"/>
      </w:divBdr>
      <w:divsChild>
        <w:div w:id="1622761829">
          <w:marLeft w:val="680"/>
          <w:marRight w:val="1418"/>
          <w:marTop w:val="0"/>
          <w:marBottom w:val="0"/>
          <w:divBdr>
            <w:top w:val="none" w:sz="0" w:space="0" w:color="auto"/>
            <w:left w:val="none" w:sz="0" w:space="0" w:color="auto"/>
            <w:bottom w:val="none" w:sz="0" w:space="0" w:color="auto"/>
            <w:right w:val="none" w:sz="0" w:space="0" w:color="auto"/>
          </w:divBdr>
        </w:div>
        <w:div w:id="2038390007">
          <w:marLeft w:val="680"/>
          <w:marRight w:val="1418"/>
          <w:marTop w:val="0"/>
          <w:marBottom w:val="0"/>
          <w:divBdr>
            <w:top w:val="none" w:sz="0" w:space="0" w:color="auto"/>
            <w:left w:val="none" w:sz="0" w:space="0" w:color="auto"/>
            <w:bottom w:val="none" w:sz="0" w:space="0" w:color="auto"/>
            <w:right w:val="none" w:sz="0" w:space="0" w:color="auto"/>
          </w:divBdr>
        </w:div>
      </w:divsChild>
    </w:div>
    <w:div w:id="567690049">
      <w:bodyDiv w:val="1"/>
      <w:marLeft w:val="0"/>
      <w:marRight w:val="0"/>
      <w:marTop w:val="0"/>
      <w:marBottom w:val="0"/>
      <w:divBdr>
        <w:top w:val="none" w:sz="0" w:space="0" w:color="auto"/>
        <w:left w:val="none" w:sz="0" w:space="0" w:color="auto"/>
        <w:bottom w:val="none" w:sz="0" w:space="0" w:color="auto"/>
        <w:right w:val="none" w:sz="0" w:space="0" w:color="auto"/>
      </w:divBdr>
      <w:divsChild>
        <w:div w:id="43797453">
          <w:marLeft w:val="0"/>
          <w:marRight w:val="0"/>
          <w:marTop w:val="0"/>
          <w:marBottom w:val="0"/>
          <w:divBdr>
            <w:top w:val="none" w:sz="0" w:space="0" w:color="auto"/>
            <w:left w:val="none" w:sz="0" w:space="0" w:color="auto"/>
            <w:bottom w:val="none" w:sz="0" w:space="0" w:color="auto"/>
            <w:right w:val="none" w:sz="0" w:space="0" w:color="auto"/>
          </w:divBdr>
        </w:div>
        <w:div w:id="142815887">
          <w:marLeft w:val="0"/>
          <w:marRight w:val="0"/>
          <w:marTop w:val="0"/>
          <w:marBottom w:val="0"/>
          <w:divBdr>
            <w:top w:val="none" w:sz="0" w:space="0" w:color="auto"/>
            <w:left w:val="none" w:sz="0" w:space="0" w:color="auto"/>
            <w:bottom w:val="none" w:sz="0" w:space="0" w:color="auto"/>
            <w:right w:val="none" w:sz="0" w:space="0" w:color="auto"/>
          </w:divBdr>
        </w:div>
      </w:divsChild>
    </w:div>
    <w:div w:id="1077706507">
      <w:bodyDiv w:val="1"/>
      <w:marLeft w:val="0"/>
      <w:marRight w:val="0"/>
      <w:marTop w:val="0"/>
      <w:marBottom w:val="0"/>
      <w:divBdr>
        <w:top w:val="none" w:sz="0" w:space="0" w:color="auto"/>
        <w:left w:val="none" w:sz="0" w:space="0" w:color="auto"/>
        <w:bottom w:val="none" w:sz="0" w:space="0" w:color="auto"/>
        <w:right w:val="none" w:sz="0" w:space="0" w:color="auto"/>
      </w:divBdr>
    </w:div>
    <w:div w:id="1739938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s>
</file>

<file path=word/_rels/footnotes.xml.rels><?xml version="1.0" encoding="UTF-8" standalone="yes"?>
<Relationships xmlns="http://schemas.openxmlformats.org/package/2006/relationships"><Relationship Id="rId3" Type="http://schemas.openxmlformats.org/officeDocument/2006/relationships/hyperlink" Target="https://openknowledge.worldbank.org/bitstream/handle/10986/31406/WPS8780.pdf?sequence=1&amp;isAllowed=y" TargetMode="External"/><Relationship Id="rId2" Type="http://schemas.openxmlformats.org/officeDocument/2006/relationships/hyperlink" Target="https://www.bccr.fi.cr/comunicacion-y-prensa/Docs_Comunicados_Prensa/CP-BCCR-014-2022-BCCR_revisa_crecimiento_economico_para_2022_y_2023.pdf" TargetMode="External"/><Relationship Id="rId1" Type="http://schemas.openxmlformats.org/officeDocument/2006/relationships/hyperlink" Target="https://www.mep.go.cr/indicadores_edu/indice_indicadores.html" TargetMode="External"/><Relationship Id="rId4" Type="http://schemas.openxmlformats.org/officeDocument/2006/relationships/hyperlink" Target="https://gee.bccr.fi.cr/indicadoreseconomicos/Cuadros/frmVerCatCuadro.aspx?idioma=1&amp;CodCuadro=2732"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perfiles\DJZM\Downloads\frmVerCatCuadro%20(2).xls"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spPr>
            <a:ln w="28575" cap="rnd">
              <a:solidFill>
                <a:schemeClr val="accent1"/>
              </a:solidFill>
              <a:round/>
            </a:ln>
            <a:effectLst/>
          </c:spPr>
          <c:marker>
            <c:symbol val="none"/>
          </c:marker>
          <c:cat>
            <c:strRef>
              <c:f>'[frmVerCatCuadro (2).xls]Hoja1'!$A$474:$A$564</c:f>
              <c:strCache>
                <c:ptCount val="91"/>
                <c:pt idx="0">
                  <c:v>Enero/2015</c:v>
                </c:pt>
                <c:pt idx="1">
                  <c:v>Febrero/2015</c:v>
                </c:pt>
                <c:pt idx="2">
                  <c:v>Marzo/2015</c:v>
                </c:pt>
                <c:pt idx="3">
                  <c:v>Abril/2015</c:v>
                </c:pt>
                <c:pt idx="4">
                  <c:v>Mayo/2015</c:v>
                </c:pt>
                <c:pt idx="5">
                  <c:v>Junio/2015</c:v>
                </c:pt>
                <c:pt idx="6">
                  <c:v>Julio/2015</c:v>
                </c:pt>
                <c:pt idx="7">
                  <c:v>Agosto/2015</c:v>
                </c:pt>
                <c:pt idx="8">
                  <c:v>Septiembre/2015</c:v>
                </c:pt>
                <c:pt idx="9">
                  <c:v>Octubre/2015</c:v>
                </c:pt>
                <c:pt idx="10">
                  <c:v>Noviembre/2015</c:v>
                </c:pt>
                <c:pt idx="11">
                  <c:v>Diciembre/2015</c:v>
                </c:pt>
                <c:pt idx="12">
                  <c:v>Enero/2016</c:v>
                </c:pt>
                <c:pt idx="13">
                  <c:v>Febrero/2016</c:v>
                </c:pt>
                <c:pt idx="14">
                  <c:v>Marzo/2016</c:v>
                </c:pt>
                <c:pt idx="15">
                  <c:v>Abril/2016</c:v>
                </c:pt>
                <c:pt idx="16">
                  <c:v>Mayo/2016</c:v>
                </c:pt>
                <c:pt idx="17">
                  <c:v>Junio/2016</c:v>
                </c:pt>
                <c:pt idx="18">
                  <c:v>Julio/2016</c:v>
                </c:pt>
                <c:pt idx="19">
                  <c:v>Agosto/2016</c:v>
                </c:pt>
                <c:pt idx="20">
                  <c:v>Septiembre/2016</c:v>
                </c:pt>
                <c:pt idx="21">
                  <c:v>Octubre/2016</c:v>
                </c:pt>
                <c:pt idx="22">
                  <c:v>Noviembre/2016</c:v>
                </c:pt>
                <c:pt idx="23">
                  <c:v>Diciembre/2016</c:v>
                </c:pt>
                <c:pt idx="24">
                  <c:v>Enero/2017</c:v>
                </c:pt>
                <c:pt idx="25">
                  <c:v>Febrero/2017</c:v>
                </c:pt>
                <c:pt idx="26">
                  <c:v>Marzo/2017</c:v>
                </c:pt>
                <c:pt idx="27">
                  <c:v>Abril/2017</c:v>
                </c:pt>
                <c:pt idx="28">
                  <c:v>Mayo/2017</c:v>
                </c:pt>
                <c:pt idx="29">
                  <c:v>Junio/2017</c:v>
                </c:pt>
                <c:pt idx="30">
                  <c:v>Julio/2017</c:v>
                </c:pt>
                <c:pt idx="31">
                  <c:v>Agosto/2017</c:v>
                </c:pt>
                <c:pt idx="32">
                  <c:v>Septiembre/2017</c:v>
                </c:pt>
                <c:pt idx="33">
                  <c:v>Octubre/2017</c:v>
                </c:pt>
                <c:pt idx="34">
                  <c:v>Noviembre/2017</c:v>
                </c:pt>
                <c:pt idx="35">
                  <c:v>Diciembre/2017</c:v>
                </c:pt>
                <c:pt idx="36">
                  <c:v>Enero/2018</c:v>
                </c:pt>
                <c:pt idx="37">
                  <c:v>Febrero/2018</c:v>
                </c:pt>
                <c:pt idx="38">
                  <c:v>Marzo/2018</c:v>
                </c:pt>
                <c:pt idx="39">
                  <c:v>Abril/2018</c:v>
                </c:pt>
                <c:pt idx="40">
                  <c:v>Mayo/2018</c:v>
                </c:pt>
                <c:pt idx="41">
                  <c:v>Junio/2018</c:v>
                </c:pt>
                <c:pt idx="42">
                  <c:v>Julio/2018</c:v>
                </c:pt>
                <c:pt idx="43">
                  <c:v>Agosto/2018</c:v>
                </c:pt>
                <c:pt idx="44">
                  <c:v>Septiembre/2018</c:v>
                </c:pt>
                <c:pt idx="45">
                  <c:v>Octubre/2018</c:v>
                </c:pt>
                <c:pt idx="46">
                  <c:v>Noviembre/2018</c:v>
                </c:pt>
                <c:pt idx="47">
                  <c:v>Diciembre/2018</c:v>
                </c:pt>
                <c:pt idx="48">
                  <c:v>Enero/2019</c:v>
                </c:pt>
                <c:pt idx="49">
                  <c:v>Febrero/2019</c:v>
                </c:pt>
                <c:pt idx="50">
                  <c:v>Marzo/2019</c:v>
                </c:pt>
                <c:pt idx="51">
                  <c:v>Abril/2019</c:v>
                </c:pt>
                <c:pt idx="52">
                  <c:v>Mayo/2019</c:v>
                </c:pt>
                <c:pt idx="53">
                  <c:v>Junio/2019</c:v>
                </c:pt>
                <c:pt idx="54">
                  <c:v>Julio/2019</c:v>
                </c:pt>
                <c:pt idx="55">
                  <c:v>Agosto/2019</c:v>
                </c:pt>
                <c:pt idx="56">
                  <c:v>Septiembre/2019</c:v>
                </c:pt>
                <c:pt idx="57">
                  <c:v>Octubre/2019</c:v>
                </c:pt>
                <c:pt idx="58">
                  <c:v>Noviembre/2019</c:v>
                </c:pt>
                <c:pt idx="59">
                  <c:v>Diciembre/2019</c:v>
                </c:pt>
                <c:pt idx="60">
                  <c:v>Enero/2020</c:v>
                </c:pt>
                <c:pt idx="61">
                  <c:v>Febrero/2020</c:v>
                </c:pt>
                <c:pt idx="62">
                  <c:v>Marzo/2020</c:v>
                </c:pt>
                <c:pt idx="63">
                  <c:v>Abril/2020</c:v>
                </c:pt>
                <c:pt idx="64">
                  <c:v>Mayo/2020</c:v>
                </c:pt>
                <c:pt idx="65">
                  <c:v>Junio/2020</c:v>
                </c:pt>
                <c:pt idx="66">
                  <c:v>Julio/2020</c:v>
                </c:pt>
                <c:pt idx="67">
                  <c:v>Agosto/2020</c:v>
                </c:pt>
                <c:pt idx="68">
                  <c:v>Septiembre/2020</c:v>
                </c:pt>
                <c:pt idx="69">
                  <c:v>Octubre/2020</c:v>
                </c:pt>
                <c:pt idx="70">
                  <c:v>Noviembre/2020</c:v>
                </c:pt>
                <c:pt idx="71">
                  <c:v>Diciembre/2020</c:v>
                </c:pt>
                <c:pt idx="72">
                  <c:v>Enero/2021</c:v>
                </c:pt>
                <c:pt idx="73">
                  <c:v>Febrero/2021</c:v>
                </c:pt>
                <c:pt idx="74">
                  <c:v>Marzo/2021</c:v>
                </c:pt>
                <c:pt idx="75">
                  <c:v>Abril/2021</c:v>
                </c:pt>
                <c:pt idx="76">
                  <c:v>Mayo/2021</c:v>
                </c:pt>
                <c:pt idx="77">
                  <c:v>Junio/2021</c:v>
                </c:pt>
                <c:pt idx="78">
                  <c:v>Julio/2021</c:v>
                </c:pt>
                <c:pt idx="79">
                  <c:v>Agosto/2021</c:v>
                </c:pt>
                <c:pt idx="80">
                  <c:v>Septiembre/2021</c:v>
                </c:pt>
                <c:pt idx="81">
                  <c:v>Octubre/2021</c:v>
                </c:pt>
                <c:pt idx="82">
                  <c:v>Noviembre/2021</c:v>
                </c:pt>
                <c:pt idx="83">
                  <c:v>Diciembre/2021</c:v>
                </c:pt>
                <c:pt idx="84">
                  <c:v>Enero/2022</c:v>
                </c:pt>
                <c:pt idx="85">
                  <c:v>Febrero/2022</c:v>
                </c:pt>
                <c:pt idx="86">
                  <c:v>Marzo/2022</c:v>
                </c:pt>
                <c:pt idx="87">
                  <c:v>Abril/2022</c:v>
                </c:pt>
                <c:pt idx="88">
                  <c:v>Mayo/2022</c:v>
                </c:pt>
                <c:pt idx="89">
                  <c:v>Junio/2022</c:v>
                </c:pt>
                <c:pt idx="90">
                  <c:v>Julio/2022</c:v>
                </c:pt>
              </c:strCache>
            </c:strRef>
          </c:cat>
          <c:val>
            <c:numRef>
              <c:f>'[frmVerCatCuadro (2).xls]Hoja1'!$D$474:$D$564</c:f>
              <c:numCache>
                <c:formatCode>#,##0.00</c:formatCode>
                <c:ptCount val="91"/>
                <c:pt idx="0">
                  <c:v>4.3859265799999996</c:v>
                </c:pt>
                <c:pt idx="1">
                  <c:v>3.5270960100000002</c:v>
                </c:pt>
                <c:pt idx="2">
                  <c:v>3.0463139300000002</c:v>
                </c:pt>
                <c:pt idx="3">
                  <c:v>1.80504949</c:v>
                </c:pt>
                <c:pt idx="4">
                  <c:v>0.97250323000000005</c:v>
                </c:pt>
                <c:pt idx="5">
                  <c:v>1.02050767</c:v>
                </c:pt>
                <c:pt idx="6">
                  <c:v>-0.32170012999999997</c:v>
                </c:pt>
                <c:pt idx="7">
                  <c:v>-0.73828536</c:v>
                </c:pt>
                <c:pt idx="8">
                  <c:v>-0.86419232999999995</c:v>
                </c:pt>
                <c:pt idx="9">
                  <c:v>-0.85644268000000001</c:v>
                </c:pt>
                <c:pt idx="10">
                  <c:v>-1.2037736800000001</c:v>
                </c:pt>
                <c:pt idx="11">
                  <c:v>-0.80758132999999999</c:v>
                </c:pt>
                <c:pt idx="12">
                  <c:v>-0.17270015999999999</c:v>
                </c:pt>
                <c:pt idx="13">
                  <c:v>-3.233718E-2</c:v>
                </c:pt>
                <c:pt idx="14">
                  <c:v>-1.0860926</c:v>
                </c:pt>
                <c:pt idx="15">
                  <c:v>-0.91805692999999999</c:v>
                </c:pt>
                <c:pt idx="16">
                  <c:v>-0.43272306999999999</c:v>
                </c:pt>
                <c:pt idx="17">
                  <c:v>-0.87839427000000003</c:v>
                </c:pt>
                <c:pt idx="18">
                  <c:v>0.47552710999999998</c:v>
                </c:pt>
                <c:pt idx="19">
                  <c:v>0.59586675</c:v>
                </c:pt>
                <c:pt idx="20">
                  <c:v>0.38575472</c:v>
                </c:pt>
                <c:pt idx="21">
                  <c:v>0.55180099000000005</c:v>
                </c:pt>
                <c:pt idx="22">
                  <c:v>0.56037234000000002</c:v>
                </c:pt>
                <c:pt idx="23">
                  <c:v>0.76519108999999996</c:v>
                </c:pt>
                <c:pt idx="24">
                  <c:v>0.65571453999999996</c:v>
                </c:pt>
                <c:pt idx="25">
                  <c:v>1.08546538</c:v>
                </c:pt>
                <c:pt idx="26">
                  <c:v>1.5816604299999999</c:v>
                </c:pt>
                <c:pt idx="27">
                  <c:v>1.6438548100000001</c:v>
                </c:pt>
                <c:pt idx="28">
                  <c:v>1.6711599500000001</c:v>
                </c:pt>
                <c:pt idx="29">
                  <c:v>1.7743170399999999</c:v>
                </c:pt>
                <c:pt idx="30">
                  <c:v>1.1631081299999999</c:v>
                </c:pt>
                <c:pt idx="31">
                  <c:v>0.90944212000000002</c:v>
                </c:pt>
                <c:pt idx="32">
                  <c:v>1.6412002699999999</c:v>
                </c:pt>
                <c:pt idx="33">
                  <c:v>2.3254315999999999</c:v>
                </c:pt>
                <c:pt idx="34">
                  <c:v>2.4913167899999999</c:v>
                </c:pt>
                <c:pt idx="35">
                  <c:v>2.57410995</c:v>
                </c:pt>
                <c:pt idx="36">
                  <c:v>2.4078251800000001</c:v>
                </c:pt>
                <c:pt idx="37">
                  <c:v>2.21248815</c:v>
                </c:pt>
                <c:pt idx="38">
                  <c:v>2.6129676900000001</c:v>
                </c:pt>
                <c:pt idx="39">
                  <c:v>2.3754301999999998</c:v>
                </c:pt>
                <c:pt idx="40">
                  <c:v>2.03590312</c:v>
                </c:pt>
                <c:pt idx="41">
                  <c:v>2.1341316099999998</c:v>
                </c:pt>
                <c:pt idx="42">
                  <c:v>2.0843401799999999</c:v>
                </c:pt>
                <c:pt idx="43">
                  <c:v>2.2403361799999999</c:v>
                </c:pt>
                <c:pt idx="44">
                  <c:v>2.2117528499999999</c:v>
                </c:pt>
                <c:pt idx="45">
                  <c:v>2.0269004100000001</c:v>
                </c:pt>
                <c:pt idx="46">
                  <c:v>2.29241305</c:v>
                </c:pt>
                <c:pt idx="47">
                  <c:v>2.0272621499999999</c:v>
                </c:pt>
                <c:pt idx="48">
                  <c:v>1.6663756300000001</c:v>
                </c:pt>
                <c:pt idx="49">
                  <c:v>1.53547704</c:v>
                </c:pt>
                <c:pt idx="50">
                  <c:v>1.4201372299999999</c:v>
                </c:pt>
                <c:pt idx="51">
                  <c:v>2.07007232</c:v>
                </c:pt>
                <c:pt idx="52">
                  <c:v>2.32190005</c:v>
                </c:pt>
                <c:pt idx="53">
                  <c:v>2.42137095</c:v>
                </c:pt>
                <c:pt idx="54">
                  <c:v>2.88922802</c:v>
                </c:pt>
                <c:pt idx="55">
                  <c:v>2.8558096399999999</c:v>
                </c:pt>
                <c:pt idx="56">
                  <c:v>2.5290714200000002</c:v>
                </c:pt>
                <c:pt idx="57">
                  <c:v>2.0724345999999998</c:v>
                </c:pt>
                <c:pt idx="58">
                  <c:v>1.8558595600000001</c:v>
                </c:pt>
                <c:pt idx="59">
                  <c:v>1.52242911</c:v>
                </c:pt>
                <c:pt idx="60">
                  <c:v>1.58276434</c:v>
                </c:pt>
                <c:pt idx="61">
                  <c:v>1.79007626</c:v>
                </c:pt>
                <c:pt idx="62">
                  <c:v>1.90692858</c:v>
                </c:pt>
                <c:pt idx="63">
                  <c:v>0.89116262000000002</c:v>
                </c:pt>
                <c:pt idx="64">
                  <c:v>0.60875080999999998</c:v>
                </c:pt>
                <c:pt idx="65">
                  <c:v>0.31161484</c:v>
                </c:pt>
                <c:pt idx="66">
                  <c:v>-0.16512010999999999</c:v>
                </c:pt>
                <c:pt idx="67">
                  <c:v>-7.0774519999999994E-2</c:v>
                </c:pt>
                <c:pt idx="68">
                  <c:v>0.29896292000000002</c:v>
                </c:pt>
                <c:pt idx="69">
                  <c:v>0.45245635000000001</c:v>
                </c:pt>
                <c:pt idx="70">
                  <c:v>0.24451286</c:v>
                </c:pt>
                <c:pt idx="71">
                  <c:v>0.89244851999999997</c:v>
                </c:pt>
                <c:pt idx="72">
                  <c:v>0.95912352999999995</c:v>
                </c:pt>
                <c:pt idx="73">
                  <c:v>0.41428568999999998</c:v>
                </c:pt>
                <c:pt idx="74">
                  <c:v>0.47273207</c:v>
                </c:pt>
                <c:pt idx="75">
                  <c:v>1.20983555</c:v>
                </c:pt>
                <c:pt idx="76">
                  <c:v>1.34180593</c:v>
                </c:pt>
                <c:pt idx="77">
                  <c:v>1.90803363</c:v>
                </c:pt>
                <c:pt idx="78">
                  <c:v>1.4397797299999999</c:v>
                </c:pt>
                <c:pt idx="79">
                  <c:v>1.7246570000000001</c:v>
                </c:pt>
                <c:pt idx="80">
                  <c:v>2.0863576199999998</c:v>
                </c:pt>
                <c:pt idx="81">
                  <c:v>2.5039199700000001</c:v>
                </c:pt>
                <c:pt idx="82">
                  <c:v>3.3456433400000001</c:v>
                </c:pt>
                <c:pt idx="83">
                  <c:v>3.2989079100000001</c:v>
                </c:pt>
                <c:pt idx="84">
                  <c:v>3.4980842499999998</c:v>
                </c:pt>
                <c:pt idx="85">
                  <c:v>4.8973145599999999</c:v>
                </c:pt>
                <c:pt idx="86">
                  <c:v>5.7931750600000003</c:v>
                </c:pt>
                <c:pt idx="87">
                  <c:v>7.15156174</c:v>
                </c:pt>
                <c:pt idx="88">
                  <c:v>8.7141472899999997</c:v>
                </c:pt>
                <c:pt idx="89">
                  <c:v>10.055605679999999</c:v>
                </c:pt>
                <c:pt idx="90">
                  <c:v>11.480082810000001</c:v>
                </c:pt>
              </c:numCache>
            </c:numRef>
          </c:val>
          <c:smooth val="0"/>
          <c:extLst>
            <c:ext xmlns:c16="http://schemas.microsoft.com/office/drawing/2014/chart" uri="{C3380CC4-5D6E-409C-BE32-E72D297353CC}">
              <c16:uniqueId val="{00000000-6445-425A-BAD7-82465C0D704D}"/>
            </c:ext>
          </c:extLst>
        </c:ser>
        <c:dLbls>
          <c:showLegendKey val="0"/>
          <c:showVal val="0"/>
          <c:showCatName val="0"/>
          <c:showSerName val="0"/>
          <c:showPercent val="0"/>
          <c:showBubbleSize val="0"/>
        </c:dLbls>
        <c:smooth val="0"/>
        <c:axId val="517739024"/>
        <c:axId val="502088592"/>
      </c:lineChart>
      <c:catAx>
        <c:axId val="517739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R"/>
          </a:p>
        </c:txPr>
        <c:crossAx val="502088592"/>
        <c:crosses val="autoZero"/>
        <c:auto val="1"/>
        <c:lblAlgn val="ctr"/>
        <c:lblOffset val="100"/>
        <c:noMultiLvlLbl val="0"/>
      </c:catAx>
      <c:valAx>
        <c:axId val="50208859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R"/>
          </a:p>
        </c:txPr>
        <c:crossAx val="517739024"/>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2351E-C045-4BC5-868E-8E823E7A3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1969</Words>
  <Characters>10830</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REPÚBLICA DE COSTA RICA</vt:lpstr>
    </vt:vector>
  </TitlesOfParts>
  <Company/>
  <LinksUpToDate>false</LinksUpToDate>
  <CharactersWithSpaces>12774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REPÚBLICA DE COSTA RICA</dc:title>
  <dc:subject/>
  <dc:creator>LFG</dc:creator>
  <cp:keywords/>
  <cp:lastModifiedBy>Margarita Matarrita Rojas</cp:lastModifiedBy>
  <cp:revision>2</cp:revision>
  <cp:lastPrinted>2022-08-11T22:41:00Z</cp:lastPrinted>
  <dcterms:created xsi:type="dcterms:W3CDTF">2022-08-12T16:39:00Z</dcterms:created>
  <dcterms:modified xsi:type="dcterms:W3CDTF">2022-08-12T16:39:00Z</dcterms:modified>
</cp:coreProperties>
</file>